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pPr>
        <w:pStyle w:val="bocontentwrapperbocenter"/>
        <w:spacing w:before="0"/>
        <w:ind w:left="0" w:right="150"/>
        <w:rPr>
          <w:rStyle w:val="main"/>
          <w:lang w:val="de" w:eastAsia="de"/>
        </w:rPr>
      </w:pPr>
      <w:r>
        <w:rPr>
          <w:rStyle w:val="bomodulprinttitle"/>
          <w:strike w:val="0"/>
          <w:u w:val="none"/>
          <w:bdr w:val="none" w:sz="0" w:space="0" w:color="auto"/>
          <w:lang w:val="de" w:eastAsia="de"/>
        </w:rPr>
        <w:drawing>
          <wp:inline>
            <wp:extent cx="1417176" cy="6000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0" y="0"/>
                      <a:ext cx="1417176" cy="600075"/>
                    </a:xfrm>
                    <a:prstGeom prst="rect">
                      <a:avLst/>
                    </a:prstGeom>
                    <a:ln>
                      <a:noFill/>
                    </a:ln>
                  </pic:spPr>
                </pic:pic>
              </a:graphicData>
            </a:graphic>
          </wp:inline>
        </w:drawing>
      </w:r>
      <w:r>
        <w:rPr>
          <w:rStyle w:val="bomodulprinttitle"/>
          <w:lang w:val="de" w:eastAsia="de"/>
        </w:rPr>
        <w:t xml:space="preserve"> </w:t>
      </w:r>
    </w:p>
    <w:p>
      <w:pPr>
        <w:pStyle w:val="bocenterdivbomodulselectedbomodultitleh1"/>
        <w:pBdr>
          <w:top w:val="none" w:sz="0" w:space="3" w:color="auto"/>
          <w:left w:val="none" w:sz="0" w:space="0" w:color="auto"/>
          <w:bottom w:val="none" w:sz="0" w:space="3" w:color="auto"/>
          <w:right w:val="none" w:sz="0" w:space="0" w:color="auto"/>
        </w:pBdr>
        <w:spacing w:before="60" w:after="240"/>
        <w:ind w:left="0" w:right="150"/>
        <w:outlineLvl w:val="0"/>
        <w:rPr>
          <w:rStyle w:val="main"/>
          <w:b/>
          <w:bCs/>
          <w:color w:val="C8000A"/>
          <w:sz w:val="32"/>
          <w:szCs w:val="32"/>
          <w:lang w:val="de" w:eastAsia="de"/>
        </w:rPr>
      </w:pPr>
      <w:r>
        <w:rPr>
          <w:rStyle w:val="main"/>
          <w:b/>
          <w:bCs/>
          <w:color w:val="C8000A"/>
          <w:sz w:val="32"/>
          <w:szCs w:val="32"/>
          <w:lang w:val="de" w:eastAsia="de"/>
        </w:rPr>
        <w:t xml:space="preserve">Pharmarecht PREMIUM </w:t>
      </w:r>
    </w:p>
    <w:p>
      <w:pPr>
        <w:pStyle w:val="bocenterbokastenh3"/>
        <w:pBdr>
          <w:top w:val="none" w:sz="0" w:space="6" w:color="auto"/>
          <w:left w:val="none" w:sz="0" w:space="12" w:color="auto"/>
          <w:bottom w:val="none" w:sz="0" w:space="6" w:color="auto"/>
          <w:right w:val="none" w:sz="0" w:space="12" w:color="auto"/>
        </w:pBdr>
        <w:spacing w:before="60" w:after="60" w:line="255" w:lineRule="atLeast"/>
        <w:ind w:left="330" w:right="540"/>
        <w:outlineLvl w:val="2"/>
        <w:rPr>
          <w:rStyle w:val="main"/>
          <w:b/>
          <w:bCs/>
          <w:color w:val="C8000A"/>
          <w:sz w:val="28"/>
          <w:szCs w:val="28"/>
          <w:lang w:val="de" w:eastAsia="de"/>
        </w:rPr>
      </w:pPr>
      <w:r>
        <w:rPr>
          <w:rStyle w:val="main"/>
          <w:b/>
          <w:bCs/>
          <w:lang w:val="de" w:eastAsia="de"/>
        </w:rPr>
        <w:t>Kommentare und Handbücher</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 w:tgtFrame="_self" w:tooltip="Anhalt/Dieners" w:history="1">
        <w:bookmarkStart w:id="0" w:name="opus_175262"/>
        <w:r>
          <w:rPr>
            <w:rStyle w:val="anyCharacter"/>
            <w:color w:val="C8000A"/>
            <w:u w:val="single" w:color="C8000A"/>
            <w:bdr w:val="none" w:sz="0" w:space="0" w:color="auto"/>
            <w:lang w:val="de" w:eastAsia="de"/>
          </w:rPr>
          <w:t>Anhalt/​Dieners, Medizinprodukterecht</w:t>
        </w:r>
      </w:hyperlink>
      <w:bookmarkEnd w:id="0"/>
      <w:hyperlink r:id="rId7" w:anchor="opus_detail_17526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8" w:tgtFrame="_self" w:tooltip="Becker" w:history="1">
        <w:bookmarkStart w:id="1" w:name="opus_206190"/>
        <w:r>
          <w:rPr>
            <w:rStyle w:val="anyCharacter"/>
            <w:color w:val="C8000A"/>
            <w:u w:val="single" w:color="C8000A"/>
            <w:bdr w:val="none" w:sz="0" w:space="0" w:color="auto"/>
            <w:lang w:val="de" w:eastAsia="de"/>
          </w:rPr>
          <w:t>Becker/​Kingreen, SGB V</w:t>
        </w:r>
      </w:hyperlink>
      <w:bookmarkEnd w:id="1"/>
      <w:hyperlink r:id="rId9" w:anchor="opus_detail_20619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0" w:tgtFrame="_self" w:tooltip="BeckOK HWG" w:history="1">
        <w:bookmarkStart w:id="2" w:name="opus_211252"/>
        <w:r>
          <w:rPr>
            <w:rStyle w:val="anyCharacter"/>
            <w:color w:val="C8000A"/>
            <w:u w:val="single" w:color="C8000A"/>
            <w:bdr w:val="none" w:sz="0" w:space="0" w:color="auto"/>
            <w:lang w:val="de" w:eastAsia="de"/>
          </w:rPr>
          <w:t>BeckOK HWG, Reese</w:t>
        </w:r>
      </w:hyperlink>
      <w:bookmarkEnd w:id="2"/>
      <w:hyperlink r:id="rId11" w:anchor="opus_detail_21125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2" w:tgtFrame="_self" w:tooltip="Cyran/Rotta" w:history="1">
        <w:bookmarkStart w:id="3" w:name="opus_206532"/>
        <w:r>
          <w:rPr>
            <w:rStyle w:val="anyCharacter"/>
            <w:color w:val="C8000A"/>
            <w:u w:val="single" w:color="C8000A"/>
            <w:bdr w:val="none" w:sz="0" w:space="0" w:color="auto"/>
            <w:lang w:val="de" w:eastAsia="de"/>
          </w:rPr>
          <w:t>Cyran/​Rotta, Apothekenbetriebsordnung Kommentar</w:t>
        </w:r>
      </w:hyperlink>
      <w:bookmarkEnd w:id="3"/>
      <w:hyperlink r:id="rId13" w:anchor="opus_detail_20653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4" w:tgtFrame="_self" w:tooltip="DienersCompliance" w:history="1">
        <w:bookmarkStart w:id="4" w:name="opus_175272"/>
        <w:r>
          <w:rPr>
            <w:rStyle w:val="anyCharacter"/>
            <w:color w:val="C8000A"/>
            <w:u w:val="single" w:color="C8000A"/>
            <w:bdr w:val="none" w:sz="0" w:space="0" w:color="auto"/>
            <w:lang w:val="de" w:eastAsia="de"/>
          </w:rPr>
          <w:t>Dieners, Handbuch Compliance im Gesundheitswesen</w:t>
        </w:r>
      </w:hyperlink>
      <w:bookmarkEnd w:id="4"/>
      <w:hyperlink r:id="rId15" w:anchor="opus_detail_17527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6" w:tgtFrame="_self" w:tooltip="Dieners/Reese" w:history="1">
        <w:bookmarkStart w:id="5" w:name="opus_175274"/>
        <w:r>
          <w:rPr>
            <w:rStyle w:val="anyCharacter"/>
            <w:color w:val="C8000A"/>
            <w:u w:val="single" w:color="C8000A"/>
            <w:bdr w:val="none" w:sz="0" w:space="0" w:color="auto"/>
            <w:lang w:val="de" w:eastAsia="de"/>
          </w:rPr>
          <w:t>Dieners/​Reese, Handbuch des Pharmarechts</w:t>
        </w:r>
      </w:hyperlink>
      <w:bookmarkEnd w:id="5"/>
      <w:hyperlink r:id="rId17" w:anchor="opus_detail_17527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8" w:tgtFrame="_self" w:tooltip="Eckstein" w:history="1">
        <w:bookmarkStart w:id="6" w:name="opus_179944"/>
        <w:r>
          <w:rPr>
            <w:rStyle w:val="anyCharacter"/>
            <w:color w:val="C8000A"/>
            <w:u w:val="single" w:color="C8000A"/>
            <w:bdr w:val="none" w:sz="0" w:space="0" w:color="auto"/>
            <w:lang w:val="de" w:eastAsia="de"/>
          </w:rPr>
          <w:t>Eckstein, Arzneimittel</w:t>
        </w:r>
      </w:hyperlink>
      <w:bookmarkEnd w:id="6"/>
      <w:hyperlink r:id="rId19" w:anchor="opus_detail_17994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0" w:tgtFrame="_self" w:tooltip="FuhrmannAMR" w:history="1">
        <w:bookmarkStart w:id="7" w:name="opus_175275"/>
        <w:r>
          <w:rPr>
            <w:rStyle w:val="anyCharacter"/>
            <w:color w:val="C8000A"/>
            <w:u w:val="single" w:color="C8000A"/>
            <w:bdr w:val="none" w:sz="0" w:space="0" w:color="auto"/>
            <w:lang w:val="de" w:eastAsia="de"/>
          </w:rPr>
          <w:t>Fuhrmann/​Klein/​Fleischfresser, Arzneimittelrecht</w:t>
        </w:r>
      </w:hyperlink>
      <w:bookmarkEnd w:id="7"/>
      <w:hyperlink r:id="rId21" w:anchor="opus_detail_1752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2" w:tgtFrame="_self" w:tooltip="Gröning/Mand/Reinhart," w:history="1">
        <w:bookmarkStart w:id="8" w:name="opus_215580"/>
        <w:r>
          <w:rPr>
            <w:rStyle w:val="anyCharacter"/>
            <w:color w:val="C8000A"/>
            <w:u w:val="single" w:color="C8000A"/>
            <w:bdr w:val="none" w:sz="0" w:space="0" w:color="auto"/>
            <w:lang w:val="de" w:eastAsia="de"/>
          </w:rPr>
          <w:t>Gröning/​Mand/​Reinhart, Heilmittelwerberecht</w:t>
        </w:r>
      </w:hyperlink>
      <w:bookmarkEnd w:id="8"/>
      <w:hyperlink r:id="rId23" w:anchor="opus_detail_21558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4" w:tgtFrame="_self" w:tooltip="Haedicke" w:history="1">
        <w:bookmarkStart w:id="9" w:name="opus_206188"/>
        <w:r>
          <w:rPr>
            <w:rStyle w:val="anyCharacter"/>
            <w:color w:val="C8000A"/>
            <w:u w:val="single" w:color="C8000A"/>
            <w:bdr w:val="none" w:sz="0" w:space="0" w:color="auto"/>
            <w:lang w:val="de" w:eastAsia="de"/>
          </w:rPr>
          <w:t>Haedicke/​Stief/​Wünsche, Rechtshandbuch Chemie-, Pharma- und Life-Sciences-Patente</w:t>
        </w:r>
      </w:hyperlink>
      <w:bookmarkEnd w:id="9"/>
      <w:hyperlink r:id="rId25" w:anchor="opus_detail_20618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6" w:tgtFrame="_self" w:tooltip="Hügel/Junge/Winkler" w:history="1">
        <w:bookmarkStart w:id="10" w:name="opus_217761"/>
        <w:r>
          <w:rPr>
            <w:rStyle w:val="anyCharacter"/>
            <w:color w:val="C8000A"/>
            <w:u w:val="single" w:color="C8000A"/>
            <w:bdr w:val="none" w:sz="0" w:space="0" w:color="auto"/>
            <w:lang w:val="de" w:eastAsia="de"/>
          </w:rPr>
          <w:t>Hügel/​Junge/​Winkler, Deutsches Betäubungsmittelrecht – Kommentar</w:t>
        </w:r>
      </w:hyperlink>
      <w:bookmarkEnd w:id="10"/>
      <w:hyperlink r:id="rId27" w:anchor="opus_detail_21776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8" w:tgtFrame="_self" w:tooltip="Kieser/Wesser/Saalfrank" w:history="1">
        <w:bookmarkStart w:id="11" w:name="opus_175277"/>
        <w:r>
          <w:rPr>
            <w:rStyle w:val="anyCharacter"/>
            <w:color w:val="C8000A"/>
            <w:u w:val="single" w:color="C8000A"/>
            <w:bdr w:val="none" w:sz="0" w:space="0" w:color="auto"/>
            <w:lang w:val="de" w:eastAsia="de"/>
          </w:rPr>
          <w:t>Kieser/​Wesser/​Saalfrank, Apothekengesetz</w:t>
        </w:r>
      </w:hyperlink>
      <w:bookmarkEnd w:id="11"/>
      <w:hyperlink r:id="rId29" w:anchor="opus_detail_17527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0" w:tgtFrame="_self" w:tooltip="Kloesel/Cyran" w:history="1">
        <w:bookmarkStart w:id="12" w:name="opus_206191"/>
        <w:r>
          <w:rPr>
            <w:rStyle w:val="anyCharacter"/>
            <w:color w:val="C8000A"/>
            <w:u w:val="single" w:color="C8000A"/>
            <w:bdr w:val="none" w:sz="0" w:space="0" w:color="auto"/>
            <w:lang w:val="de" w:eastAsia="de"/>
          </w:rPr>
          <w:t>Kloesel/​Cyran, Arzneimittelrecht-Onlinekommentar</w:t>
        </w:r>
        <w:r>
          <w:rPr>
            <w:rStyle w:val="bocontentwrapperbocenteranotbeck-btn"/>
            <w:u w:val="single" w:color="C8000A"/>
            <w:bdr w:val="none" w:sz="0" w:space="0" w:color="auto"/>
            <w:lang w:val="de" w:eastAsia="de"/>
          </w:rPr>
          <w:t xml:space="preserve"> </w:t>
        </w:r>
        <w:r>
          <w:rPr>
            <w:rStyle w:val="bo-badge-highlight"/>
            <w:b/>
            <w:bCs/>
            <w:i w:val="0"/>
            <w:iCs w:val="0"/>
            <w:u w:val="single" w:color="C8000A"/>
            <w:lang w:val="de" w:eastAsia="de"/>
          </w:rPr>
          <w:t>Highlight</w:t>
        </w:r>
      </w:hyperlink>
      <w:bookmarkEnd w:id="12"/>
      <w:hyperlink r:id="rId31" w:anchor="opus_detail_20619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2" w:tgtFrame="_self" w:tooltip="Kügel" w:history="1">
        <w:bookmarkStart w:id="13" w:name="opus_175280"/>
        <w:r>
          <w:rPr>
            <w:rStyle w:val="anyCharacter"/>
            <w:color w:val="C8000A"/>
            <w:u w:val="single" w:color="C8000A"/>
            <w:bdr w:val="none" w:sz="0" w:space="0" w:color="auto"/>
            <w:lang w:val="de" w:eastAsia="de"/>
          </w:rPr>
          <w:t>Kügel/​Müller/​Hofmann, AMG</w:t>
        </w:r>
      </w:hyperlink>
      <w:bookmarkEnd w:id="13"/>
      <w:hyperlink r:id="rId33" w:anchor="opus_detail_17528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4" w:tgtFrame="_self" w:tooltip="Lehner/Nolte/Putzke" w:history="1">
        <w:bookmarkStart w:id="14" w:name="opus_206178"/>
        <w:r>
          <w:rPr>
            <w:rStyle w:val="anyCharacter"/>
            <w:color w:val="C8000A"/>
            <w:u w:val="single" w:color="C8000A"/>
            <w:bdr w:val="none" w:sz="0" w:space="0" w:color="auto"/>
            <w:lang w:val="de" w:eastAsia="de"/>
          </w:rPr>
          <w:t>Lehner/​Nolte/​Putzke, Anti-Doping-Gesetz</w:t>
        </w:r>
      </w:hyperlink>
      <w:bookmarkEnd w:id="14"/>
      <w:hyperlink r:id="rId35" w:anchor="opus_detail_20617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6" w:tgtFrame="_self" w:tooltip="Schorn" w:history="1">
        <w:bookmarkStart w:id="15" w:name="opus_210297"/>
        <w:r>
          <w:rPr>
            <w:rStyle w:val="anyCharacter"/>
            <w:color w:val="C8000A"/>
            <w:u w:val="single" w:color="C8000A"/>
            <w:bdr w:val="none" w:sz="0" w:space="0" w:color="auto"/>
            <w:lang w:val="de" w:eastAsia="de"/>
          </w:rPr>
          <w:t>Lücker/​Baumann, Schorn Medizinprodukte-Recht</w:t>
        </w:r>
      </w:hyperlink>
      <w:bookmarkEnd w:id="15"/>
      <w:hyperlink r:id="rId37" w:anchor="opus_detail_21029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8" w:tgtFrame="_self" w:tooltip="Ludwigs" w:history="1">
        <w:bookmarkStart w:id="16" w:name="opus_175271"/>
        <w:r>
          <w:rPr>
            <w:rStyle w:val="anyCharacter"/>
            <w:color w:val="C8000A"/>
            <w:u w:val="single" w:color="C8000A"/>
            <w:bdr w:val="none" w:sz="0" w:space="0" w:color="auto"/>
            <w:lang w:val="de" w:eastAsia="de"/>
          </w:rPr>
          <w:t>Ludwigs, EU-Wirtschaftsrecht (Auszug Arzneimittelrecht)</w:t>
        </w:r>
      </w:hyperlink>
      <w:bookmarkEnd w:id="16"/>
      <w:hyperlink r:id="rId39" w:anchor="opus_detail_17527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0" w:tgtFrame="_self" w:tooltip="Meier/von Czettritz/Gabriel/Kaufmann" w:history="1">
        <w:bookmarkStart w:id="17" w:name="opus_175282"/>
        <w:r>
          <w:rPr>
            <w:rStyle w:val="anyCharacter"/>
            <w:color w:val="C8000A"/>
            <w:u w:val="single" w:color="C8000A"/>
            <w:bdr w:val="none" w:sz="0" w:space="0" w:color="auto"/>
            <w:lang w:val="de" w:eastAsia="de"/>
          </w:rPr>
          <w:t>Meier/​von Czettritz/​Gabriel/​Kaufmann, Pharmarecht</w:t>
        </w:r>
      </w:hyperlink>
      <w:bookmarkEnd w:id="17"/>
      <w:hyperlink r:id="rId41" w:anchor="opus_detail_17528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2" w:tgtFrame="_self" w:tooltip="MüKoStGB" w:history="1">
        <w:bookmarkStart w:id="18" w:name="opus_175322"/>
        <w:r>
          <w:rPr>
            <w:rStyle w:val="anyCharacter"/>
            <w:color w:val="C8000A"/>
            <w:u w:val="single" w:color="C8000A"/>
            <w:bdr w:val="none" w:sz="0" w:space="0" w:color="auto"/>
            <w:lang w:val="de" w:eastAsia="de"/>
          </w:rPr>
          <w:t>Münchener Kommentar zum StGB, Bd. 7 Nebenstrafrecht I</w:t>
        </w:r>
      </w:hyperlink>
      <w:bookmarkEnd w:id="18"/>
      <w:hyperlink r:id="rId43" w:anchor="opus_detail_17532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4" w:tgtFrame="_self" w:tooltip="Patzak/Fabricius BtMG" w:history="1">
        <w:bookmarkStart w:id="19" w:name="opus_193075"/>
        <w:r>
          <w:rPr>
            <w:rStyle w:val="anyCharacter"/>
            <w:color w:val="C8000A"/>
            <w:u w:val="single" w:color="C8000A"/>
            <w:bdr w:val="none" w:sz="0" w:space="0" w:color="auto"/>
            <w:lang w:val="de" w:eastAsia="de"/>
          </w:rPr>
          <w:t>Patzak/​Fabricius, Betäubungsmittelgesetz</w:t>
        </w:r>
      </w:hyperlink>
      <w:bookmarkEnd w:id="19"/>
      <w:hyperlink r:id="rId45" w:anchor="opus_detail_1930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6" w:tgtFrame="_self" w:tooltip="Rehmann" w:history="1">
        <w:bookmarkStart w:id="20" w:name="opus_175284"/>
        <w:r>
          <w:rPr>
            <w:rStyle w:val="anyCharacter"/>
            <w:color w:val="C8000A"/>
            <w:u w:val="single" w:color="C8000A"/>
            <w:bdr w:val="none" w:sz="0" w:space="0" w:color="auto"/>
            <w:lang w:val="de" w:eastAsia="de"/>
          </w:rPr>
          <w:t>Rehmann, Arzneimittelgesetz (AMG)</w:t>
        </w:r>
      </w:hyperlink>
      <w:bookmarkEnd w:id="20"/>
      <w:hyperlink r:id="rId47" w:anchor="opus_detail_17528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8" w:tgtFrame="_self" w:tooltip="Rehmann" w:history="1">
        <w:bookmarkStart w:id="21" w:name="opus_179206"/>
        <w:r>
          <w:rPr>
            <w:rStyle w:val="anyCharacter"/>
            <w:color w:val="C8000A"/>
            <w:u w:val="single" w:color="C8000A"/>
            <w:bdr w:val="none" w:sz="0" w:space="0" w:color="auto"/>
            <w:lang w:val="de" w:eastAsia="de"/>
          </w:rPr>
          <w:t>Rehmann/​Wagner, MP-VO</w:t>
        </w:r>
      </w:hyperlink>
      <w:bookmarkEnd w:id="21"/>
      <w:hyperlink r:id="rId49" w:anchor="opus_detail_179206"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0" w:tgtFrame="_self" w:tooltip="Saliger/Tsambikakis MedStrafR-HdB" w:history="1">
        <w:bookmarkStart w:id="22" w:name="opus_175323"/>
        <w:r>
          <w:rPr>
            <w:rStyle w:val="anyCharacter"/>
            <w:color w:val="C8000A"/>
            <w:u w:val="single" w:color="C8000A"/>
            <w:bdr w:val="none" w:sz="0" w:space="0" w:color="auto"/>
            <w:lang w:val="de" w:eastAsia="de"/>
          </w:rPr>
          <w:t>Saliger/​Tsambikakis, Strafrecht der Medizin</w:t>
        </w:r>
      </w:hyperlink>
      <w:bookmarkEnd w:id="22"/>
      <w:hyperlink r:id="rId51" w:anchor="opus_detail_175323"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2" w:tgtFrame="_self" w:tooltip="Spickhoff/Handorn" w:history="1">
        <w:bookmarkStart w:id="23" w:name="opus_183021"/>
        <w:r>
          <w:rPr>
            <w:rStyle w:val="anyCharacter"/>
            <w:color w:val="C8000A"/>
            <w:u w:val="single" w:color="C8000A"/>
            <w:bdr w:val="none" w:sz="0" w:space="0" w:color="auto"/>
            <w:lang w:val="de" w:eastAsia="de"/>
          </w:rPr>
          <w:t>Spickhoff/​Handorn, Handbuch Medizinisches Forschungsrecht</w:t>
        </w:r>
      </w:hyperlink>
      <w:bookmarkEnd w:id="23"/>
      <w:hyperlink r:id="rId53" w:anchor="opus_detail_18302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4" w:tgtFrame="_self" w:tooltip="Weber/Kornprobst/Maier/Dietsch,BtMG" w:history="1">
        <w:bookmarkStart w:id="24" w:name="opus_209056"/>
        <w:r>
          <w:rPr>
            <w:rStyle w:val="anyCharacter"/>
            <w:color w:val="C8000A"/>
            <w:u w:val="single" w:color="C8000A"/>
            <w:bdr w:val="none" w:sz="0" w:space="0" w:color="auto"/>
            <w:lang w:val="de" w:eastAsia="de"/>
          </w:rPr>
          <w:t>Weber/​Kornprobst/​Maier/​Dietsch, Betäubungsmittelgesetz: BtMG</w:t>
        </w:r>
      </w:hyperlink>
      <w:bookmarkEnd w:id="24"/>
      <w:hyperlink r:id="rId55" w:anchor="opus_detail_209056"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Formulare</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56" w:tgtFrame="_self" w:tooltip="Stief/Bromm" w:history="1">
        <w:bookmarkStart w:id="25" w:name="opus_175287"/>
        <w:r>
          <w:rPr>
            <w:rStyle w:val="anyCharacter"/>
            <w:color w:val="C8000A"/>
            <w:u w:val="single" w:color="C8000A"/>
            <w:bdr w:val="none" w:sz="0" w:space="0" w:color="auto"/>
            <w:lang w:val="de" w:eastAsia="de"/>
          </w:rPr>
          <w:t>Stief/​Bromm, Vertragshandbuch Pharma und Life Sciences</w:t>
        </w:r>
      </w:hyperlink>
      <w:bookmarkEnd w:id="25"/>
      <w:hyperlink r:id="rId57" w:anchor="opus_detail_175287" w:tooltip="Zur Werksübersicht springen" w:history="1"/>
    </w:p>
    <w:p>
      <w:pPr>
        <w:pStyle w:val="bocenterbokastenh3"/>
        <w:pBdr>
          <w:top w:val="none" w:sz="0" w:space="6" w:color="auto"/>
          <w:left w:val="none" w:sz="0" w:space="12" w:color="auto"/>
          <w:bottom w:val="none" w:sz="0" w:space="6" w:color="auto"/>
          <w:right w:val="none" w:sz="0" w:space="12" w:color="auto"/>
        </w:pBdr>
        <w:spacing w:before="225" w:after="60" w:line="255" w:lineRule="atLeast"/>
        <w:ind w:left="330" w:right="540"/>
        <w:outlineLvl w:val="2"/>
        <w:rPr>
          <w:rStyle w:val="main"/>
          <w:b/>
          <w:bCs/>
          <w:color w:val="C8000A"/>
          <w:sz w:val="28"/>
          <w:szCs w:val="28"/>
          <w:lang w:val="de" w:eastAsia="de"/>
        </w:rPr>
      </w:pPr>
      <w:r>
        <w:rPr>
          <w:rStyle w:val="main"/>
          <w:b/>
          <w:bCs/>
          <w:lang w:val="de" w:eastAsia="de"/>
        </w:rPr>
        <w:t>Zeitschrift</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8" w:tgtFrame="_self" w:tooltip="A&amp;R" w:history="1">
        <w:bookmarkStart w:id="26" w:name="opus_175290"/>
        <w:r>
          <w:rPr>
            <w:rStyle w:val="anyCharacter"/>
            <w:color w:val="C8000A"/>
            <w:u w:val="single" w:color="C8000A"/>
            <w:bdr w:val="none" w:sz="0" w:space="0" w:color="auto"/>
            <w:lang w:val="de" w:eastAsia="de"/>
          </w:rPr>
          <w:t>Arzneimittel &amp; Recht - Zeitschrift für Arzneimittelrecht und Arzneimittelpolitik, ab 2010</w:t>
        </w:r>
      </w:hyperlink>
      <w:bookmarkEnd w:id="26"/>
      <w:hyperlink r:id="rId59" w:anchor="opus_detail_17529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0" w:tgtFrame="_self" w:tooltip="PharmR" w:history="1">
        <w:bookmarkStart w:id="27" w:name="opus_175291"/>
        <w:r>
          <w:rPr>
            <w:rStyle w:val="anyCharacter"/>
            <w:color w:val="C8000A"/>
            <w:u w:val="single" w:color="C8000A"/>
            <w:bdr w:val="none" w:sz="0" w:space="0" w:color="auto"/>
            <w:lang w:val="de" w:eastAsia="de"/>
          </w:rPr>
          <w:t>Pharma Recht - Fachzeitschrift für das gesamte Arzneimittelrecht, ab 2000</w:t>
        </w:r>
      </w:hyperlink>
      <w:bookmarkEnd w:id="27"/>
      <w:hyperlink r:id="rId61" w:anchor="opus_detail_17529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2" w:tgtFrame="_self" w:tooltip="MPJ" w:history="1">
        <w:bookmarkStart w:id="28" w:name="opus_222577"/>
        <w:r>
          <w:rPr>
            <w:rStyle w:val="anyCharacter"/>
            <w:color w:val="C8000A"/>
            <w:u w:val="single" w:color="C8000A"/>
            <w:bdr w:val="none" w:sz="0" w:space="0" w:color="auto"/>
            <w:lang w:val="de" w:eastAsia="de"/>
          </w:rPr>
          <w:t>Medizinprodukte Journal - Magazin für Wissenschaft und Praxis, Recht und Regulatory Affairs, ab 2020</w:t>
        </w:r>
      </w:hyperlink>
      <w:bookmarkEnd w:id="28"/>
      <w:hyperlink r:id="rId63" w:anchor="opus_detail_222577"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Fachdienst</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4" w:tgtFrame="_self" w:tooltip="FD-MedizinR" w:history="1">
        <w:bookmarkStart w:id="29" w:name="opus_175293"/>
        <w:r>
          <w:rPr>
            <w:rStyle w:val="anyCharacter"/>
            <w:color w:val="C8000A"/>
            <w:u w:val="single" w:color="C8000A"/>
            <w:bdr w:val="none" w:sz="0" w:space="0" w:color="auto"/>
            <w:lang w:val="de" w:eastAsia="de"/>
          </w:rPr>
          <w:t>Fachdienst Medizinrecht</w:t>
        </w:r>
        <w:r>
          <w:rPr>
            <w:rStyle w:val="bocontentwrapperbocenteranotbeck-btn"/>
            <w:u w:val="single" w:color="C8000A"/>
            <w:bdr w:val="none" w:sz="0" w:space="0" w:color="auto"/>
            <w:lang w:val="de" w:eastAsia="de"/>
          </w:rPr>
          <w:t xml:space="preserve"> </w:t>
        </w:r>
        <w:r>
          <w:rPr>
            <w:rStyle w:val="bo-badge"/>
            <w:b/>
            <w:bCs/>
            <w:i w:val="0"/>
            <w:iCs w:val="0"/>
            <w:u w:val="single" w:color="C8000A"/>
            <w:bdr w:val="none" w:sz="0" w:space="0" w:color="auto"/>
            <w:lang w:val="de" w:eastAsia="de"/>
          </w:rPr>
          <w:t>Neu</w:t>
        </w:r>
      </w:hyperlink>
      <w:bookmarkEnd w:id="29"/>
      <w:hyperlink r:id="rId65" w:anchor="opus_detail_175293"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Rechtsprechung</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6" w:tgtFrame="_self" w:tooltip="Rechtsprechung (Detailsuche)" w:history="1">
        <w:bookmarkStart w:id="30" w:name="opus_175295"/>
        <w:r>
          <w:rPr>
            <w:rStyle w:val="anyCharacter"/>
            <w:color w:val="C8000A"/>
            <w:u w:val="single" w:color="C8000A"/>
            <w:bdr w:val="none" w:sz="0" w:space="0" w:color="auto"/>
            <w:lang w:val="de" w:eastAsia="de"/>
          </w:rPr>
          <w:t>Rechtsprechung zum Pharmarecht auch aus NJW, NVwZ, GRUR, NStZ und BeckRS, etc.</w:t>
        </w:r>
      </w:hyperlink>
      <w:bookmarkEnd w:id="30"/>
      <w:hyperlink r:id="rId67" w:anchor="opus_detail_175295" w:tooltip="Zur Werksübersicht springen" w:history="1"/>
    </w:p>
    <w:p>
      <w:pPr>
        <w:pStyle w:val="bocenterbokastenh3"/>
        <w:pBdr>
          <w:top w:val="none" w:sz="0" w:space="6" w:color="auto"/>
          <w:left w:val="none" w:sz="0" w:space="12" w:color="auto"/>
          <w:bottom w:val="none" w:sz="0" w:space="6" w:color="auto"/>
          <w:right w:val="none" w:sz="0" w:space="3" w:color="auto"/>
        </w:pBdr>
        <w:spacing w:before="450" w:after="60" w:line="255" w:lineRule="atLeast"/>
        <w:ind w:left="330" w:right="540"/>
        <w:outlineLvl w:val="2"/>
        <w:rPr>
          <w:rStyle w:val="main"/>
          <w:b/>
          <w:bCs/>
          <w:color w:val="C8000A"/>
          <w:sz w:val="28"/>
          <w:szCs w:val="28"/>
          <w:lang w:val="de" w:eastAsia="de"/>
        </w:rPr>
      </w:pPr>
      <w:r>
        <w:rPr>
          <w:rStyle w:val="main"/>
          <w:b/>
          <w:bCs/>
          <w:lang w:val="de" w:eastAsia="de"/>
        </w:rPr>
        <w:t>Normen zum Pharmarecht</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8" w:tgtFrame="_self" w:tooltip="Pharmarecht Normen" w:history="1">
        <w:bookmarkStart w:id="31" w:name="opus_175298"/>
        <w:r>
          <w:rPr>
            <w:rStyle w:val="anyCharacter"/>
            <w:color w:val="C8000A"/>
            <w:u w:val="single" w:color="C8000A"/>
            <w:bdr w:val="none" w:sz="0" w:space="0" w:color="auto"/>
            <w:lang w:val="de" w:eastAsia="de"/>
          </w:rPr>
          <w:t>Normen zum Pharmarecht</w:t>
        </w:r>
      </w:hyperlink>
      <w:bookmarkEnd w:id="31"/>
      <w:hyperlink r:id="rId69" w:anchor="opus_detail_17529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70" w:tgtFrame="_self" w:tooltip="WN" w:history="1">
        <w:bookmarkStart w:id="32" w:name="opus_175299"/>
        <w:r>
          <w:rPr>
            <w:rStyle w:val="anyCharacter"/>
            <w:color w:val="C8000A"/>
            <w:u w:val="single" w:color="C8000A"/>
            <w:bdr w:val="none" w:sz="0" w:space="0" w:color="auto"/>
            <w:lang w:val="de" w:eastAsia="de"/>
          </w:rPr>
          <w:t>Wichtigste Normen (rechtsgebietsübergreifend)</w:t>
        </w:r>
      </w:hyperlink>
      <w:bookmarkEnd w:id="32"/>
      <w:hyperlink r:id="rId71" w:anchor="opus_detail_175299"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Module benachbarter Rechtsgebiete</w:t>
      </w:r>
    </w:p>
    <w:p>
      <w:pPr>
        <w:pStyle w:val="divbocontentwrapperbocenterdivbokastenrahmenp"/>
        <w:pBdr>
          <w:top w:val="none" w:sz="0" w:space="3" w:color="auto"/>
          <w:left w:val="none" w:sz="0" w:space="18" w:color="auto"/>
          <w:bottom w:val="none" w:sz="0" w:space="6" w:color="auto"/>
          <w:right w:val="none" w:sz="0" w:space="6" w:color="auto"/>
        </w:pBdr>
        <w:spacing w:before="0" w:after="450" w:line="255" w:lineRule="atLeast"/>
        <w:ind w:left="600" w:right="570"/>
        <w:rPr>
          <w:rStyle w:val="main"/>
          <w:lang w:val="de" w:eastAsia="de"/>
        </w:rPr>
      </w:pPr>
      <w:r>
        <w:rPr>
          <w:rStyle w:val="anyCharacter"/>
          <w:sz w:val="20"/>
          <w:szCs w:val="20"/>
          <w:lang w:val="de" w:eastAsia="de"/>
        </w:rPr>
        <w:t>Die Grenzen zwischen Arzneimitteln und Medizinprodukten, Nahrungsergänzungs- und Lebensmitteln sind häufig fließend, daher könnten folgende Module ebenfalls interessant sein:</w:t>
      </w:r>
      <w:r>
        <w:rPr>
          <w:rStyle w:val="anyCharacter"/>
          <w:sz w:val="20"/>
          <w:szCs w:val="20"/>
          <w:lang w:val="de" w:eastAsia="de"/>
        </w:rPr>
        <w:br/>
      </w:r>
      <w:r>
        <w:rPr>
          <w:rStyle w:val="anyCharacter"/>
          <w:sz w:val="20"/>
          <w:szCs w:val="20"/>
          <w:lang w:val="de" w:eastAsia="de"/>
        </w:rPr>
        <w:br/>
      </w:r>
      <w:hyperlink r:id="rId72" w:history="1">
        <w:r>
          <w:rPr>
            <w:rStyle w:val="anyCharacter"/>
            <w:color w:val="C8000A"/>
            <w:sz w:val="20"/>
            <w:szCs w:val="20"/>
            <w:u w:val="single" w:color="C8000A"/>
            <w:lang w:val="de" w:eastAsia="de"/>
          </w:rPr>
          <w:t>Medizin- und Gesundheitsrecht PREMIUM</w:t>
        </w:r>
      </w:hyperlink>
      <w:r>
        <w:rPr>
          <w:rStyle w:val="anyCharacter"/>
          <w:sz w:val="20"/>
          <w:szCs w:val="20"/>
          <w:lang w:val="de" w:eastAsia="de"/>
        </w:rPr>
        <w:br/>
      </w:r>
      <w:r>
        <w:rPr>
          <w:rStyle w:val="anyCharacter"/>
          <w:sz w:val="20"/>
          <w:szCs w:val="20"/>
          <w:lang w:val="de" w:eastAsia="de"/>
        </w:rPr>
        <w:t>An der Schnittstelle zwischen Medizin und Recht bietet dieses interdiszplinäre Modul Antworten auf rechtliche Fragen im Berufsalltag von Ärzten und Krankenhäusern sowie in der Kanzleipraxis von auf dem Gebiet tätigen Rechtsanwälten.</w:t>
      </w:r>
      <w:r>
        <w:rPr>
          <w:rStyle w:val="anyCharacter"/>
          <w:sz w:val="20"/>
          <w:szCs w:val="20"/>
          <w:lang w:val="de" w:eastAsia="de"/>
        </w:rPr>
        <w:br/>
      </w:r>
      <w:r>
        <w:rPr>
          <w:rStyle w:val="anyCharacter"/>
          <w:sz w:val="20"/>
          <w:szCs w:val="20"/>
          <w:lang w:val="de" w:eastAsia="de"/>
        </w:rPr>
        <w:br/>
      </w:r>
      <w:hyperlink r:id="rId73" w:history="1">
        <w:r>
          <w:rPr>
            <w:rStyle w:val="anyCharacter"/>
            <w:color w:val="C8000A"/>
            <w:sz w:val="20"/>
            <w:szCs w:val="20"/>
            <w:u w:val="single" w:color="C8000A"/>
            <w:lang w:val="de" w:eastAsia="de"/>
          </w:rPr>
          <w:t>MedR PLUS</w:t>
        </w:r>
      </w:hyperlink>
      <w:r>
        <w:rPr>
          <w:rStyle w:val="anyCharacter"/>
          <w:sz w:val="20"/>
          <w:szCs w:val="20"/>
          <w:lang w:val="de" w:eastAsia="de"/>
        </w:rPr>
        <w:br/>
      </w:r>
      <w:r>
        <w:rPr>
          <w:rStyle w:val="anyCharacter"/>
          <w:sz w:val="20"/>
          <w:szCs w:val="20"/>
          <w:lang w:val="de" w:eastAsia="de"/>
        </w:rPr>
        <w:t xml:space="preserve">Bezieher des Fachmoduls Medizin- und Gesundheitsrecht PREMIUM können exklusiv auch </w:t>
      </w:r>
      <w:r>
        <w:rPr>
          <w:rStyle w:val="anyCharacter"/>
          <w:sz w:val="20"/>
          <w:szCs w:val="20"/>
          <w:lang w:val="de" w:eastAsia="de"/>
        </w:rPr>
        <w:t>die Zeitschrift Medizinrecht des Springer-Verlages mit dem Kooperationsmodul MedR PLUS hinzuabonnieren.</w:t>
      </w:r>
      <w:r>
        <w:rPr>
          <w:rStyle w:val="anyCharacter"/>
          <w:sz w:val="20"/>
          <w:szCs w:val="20"/>
          <w:lang w:val="de" w:eastAsia="de"/>
        </w:rPr>
        <w:br/>
      </w:r>
      <w:r>
        <w:rPr>
          <w:rStyle w:val="anyCharacter"/>
          <w:sz w:val="20"/>
          <w:szCs w:val="20"/>
          <w:lang w:val="de" w:eastAsia="de"/>
        </w:rPr>
        <w:br/>
      </w:r>
      <w:hyperlink r:id="rId74" w:history="1">
        <w:r>
          <w:rPr>
            <w:rStyle w:val="anyCharacter"/>
            <w:color w:val="C8000A"/>
            <w:sz w:val="20"/>
            <w:szCs w:val="20"/>
            <w:u w:val="single" w:color="C8000A"/>
            <w:lang w:val="de" w:eastAsia="de"/>
          </w:rPr>
          <w:t>Lebensmittelrecht PLUS</w:t>
        </w:r>
      </w:hyperlink>
      <w:r>
        <w:rPr>
          <w:rStyle w:val="anyCharacter"/>
          <w:sz w:val="20"/>
          <w:szCs w:val="20"/>
          <w:lang w:val="de" w:eastAsia="de"/>
        </w:rPr>
        <w:br/>
      </w:r>
      <w:r>
        <w:rPr>
          <w:rStyle w:val="anyCharacter"/>
          <w:sz w:val="20"/>
          <w:szCs w:val="20"/>
          <w:lang w:val="de" w:eastAsia="de"/>
        </w:rPr>
        <w:t>Erhebt ein Medikament Heilanspruch oder entfaltet es lediglich aufgrund seiner Zusammensetzung eine lindernde Wirkung, ohne der Zulassung zu bedürfen? Ist das Produkt ein Nahrungsergänzungsmittel, Lebensmittel oder schon ein Arzneimittel? Dieses Modul ist die ideale Ergänzung zum Pharmarecht PLUS für alle, die genau diese Fragen beschäftigen.</w:t>
      </w:r>
    </w:p>
    <w:sectPr>
      <w:headerReference w:type="default" r:id="rId75"/>
      <w:footerReference w:type="default" r:id="rId76"/>
      <w:pgSz w:w="11906" w:h="16838"/>
      <w:pgMar w:top="505" w:right="1404" w:bottom="842" w:left="1404"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50" type="#_x0000_t202" style="width:0;height:0;margin-top:0;margin-left:0;mso-position-horizontal:center;mso-position-horizontal-relative:page;mso-position-vertical:bottom;mso-position-vertical-relative:page;mso-wrap-style:none;position:absolute;z-index:251658240" stroked="f">
          <v:path strokeok="f" textboxrect="0,0,21600,21600"/>
          <v:textbox style="layout-flow:horizontal;mso-fit-shape-to-text:t" inset="0,0,0,0">
            <w:txbxContent>
              <w:p>
                <w:pPr>
                  <w:tabs>
                    <w:tab w:val="right" w:pos="9098"/>
                  </w:tabs>
                </w:pPr>
                <w:r>
                  <w:fldChar w:fldCharType="begin"/>
                </w:r>
                <w:r>
                  <w:rPr>
                    <w:rFonts w:ascii="Roboto" w:eastAsia="Roboto" w:hAnsi="Roboto" w:cs="Roboto"/>
                    <w:sz w:val="16"/>
                  </w:rPr>
                  <w:instrText xml:space="preserve"> PAGE </w:instrText>
                </w:r>
                <w:r>
                  <w:fldChar w:fldCharType="separate"/>
                </w:r>
                <w:r>
                  <w:fldChar w:fldCharType="end"/>
                </w:r>
                <w:r>
                  <w:rPr>
                    <w:rFonts w:ascii="Roboto" w:eastAsia="Roboto" w:hAnsi="Roboto" w:cs="Roboto"/>
                    <w:sz w:val="16"/>
                  </w:rPr>
                  <w:t xml:space="preserve"> von </w:t>
                </w:r>
                <w:r>
                  <w:fldChar w:fldCharType="begin"/>
                </w:r>
                <w:r>
                  <w:rPr>
                    <w:rFonts w:ascii="Roboto" w:eastAsia="Roboto" w:hAnsi="Roboto" w:cs="Roboto"/>
                    <w:sz w:val="16"/>
                  </w:rPr>
                  <w:instrText xml:space="preserve"> NUMPAGES </w:instrText>
                </w:r>
                <w:r>
                  <w:fldChar w:fldCharType="separate"/>
                </w:r>
                <w:r>
                  <w:fldChar w:fldCharType="end"/>
                </w:r>
                <w:r>
                  <w:rPr>
                    <w:rFonts w:ascii="Roboto" w:eastAsia="Roboto" w:hAnsi="Roboto" w:cs="Roboto"/>
                    <w:sz w:val="16"/>
                  </w:rPr>
                  <w:tab/>
                </w:r>
                <w:r>
                  <w:rPr>
                    <w:rFonts w:ascii="Roboto" w:eastAsia="Roboto" w:hAnsi="Roboto" w:cs="Roboto"/>
                    <w:sz w:val="16"/>
                  </w:rPr>
                  <w:t>02/04/2026</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49" type="#_x0000_t202" style="width:0;height:0;margin-top:0;margin-left:0;mso-position-horizontal:center;mso-position-horizontal-relative:page;mso-position-vertical:top;mso-position-vertical-relative:page;mso-wrap-style:none;position:absolute;z-index:251658240" stroked="f">
          <v:path strokeok="f" textboxrect="0,0,21600,21600"/>
          <v:textbox style="layout-flow:horizontal;mso-fit-shape-to-text:t" inset="0,0,0,0">
            <w:txbxContent>
              <w:p>
                <w:pPr>
                  <w:jc w:val="center"/>
                </w:pPr>
                <w:r>
                  <w:rPr>
                    <w:rFonts w:ascii="Roboto" w:eastAsia="Roboto" w:hAnsi="Roboto" w:cs="Roboto"/>
                    <w:sz w:val="16"/>
                  </w:rPr>
                  <w:t>Kopie von  , abgerufen am 04.02.2026 10:50 - Quelle: beck-online DIE DATENBANK</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rFonts w:ascii="Roboto" w:eastAsia="Roboto" w:hAnsi="Roboto" w:cs="Roboto"/>
      <w:color w:val="141414"/>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Roboto" w:eastAsia="Roboto" w:hAnsi="Roboto" w:cs="Roboto"/>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Roboto" w:eastAsia="Roboto" w:hAnsi="Roboto" w:cs="Roboto"/>
      <w:b/>
      <w:bCs/>
      <w:i w:val="0"/>
      <w:color w:val="2F5496" w:themeShade="BF"/>
      <w:sz w:val="31"/>
      <w:szCs w:val="31"/>
    </w:rPr>
  </w:style>
  <w:style w:type="paragraph" w:styleId="Heading3">
    <w:name w:val="heading 3"/>
    <w:basedOn w:val="Normal"/>
    <w:next w:val="Normal"/>
    <w:link w:val="Heading3Char"/>
    <w:uiPriority w:val="9"/>
    <w:qFormat/>
    <w:rsid w:val="00506D7A"/>
    <w:pPr>
      <w:keepNext/>
      <w:keepLines/>
      <w:spacing w:before="40" w:after="0"/>
      <w:outlineLvl w:val="2"/>
    </w:pPr>
    <w:rPr>
      <w:rFonts w:ascii="Roboto" w:eastAsia="Roboto" w:hAnsi="Roboto" w:cs="Roboto"/>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Roboto" w:eastAsia="Roboto" w:hAnsi="Roboto" w:cs="Roboto"/>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Roboto" w:eastAsia="Roboto" w:hAnsi="Roboto" w:cs="Roboto"/>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Roboto" w:eastAsia="Roboto" w:hAnsi="Roboto" w:cs="Roboto"/>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overlay">
    <w:name w:val="overlay"/>
    <w:basedOn w:val="Normal"/>
    <w:rPr>
      <w:vanish/>
    </w:rPr>
  </w:style>
  <w:style w:type="paragraph" w:customStyle="1" w:styleId="divlayout-top">
    <w:name w:val="div_layout-top"/>
    <w:basedOn w:val="Normal"/>
    <w:rPr>
      <w:vanish/>
    </w:rPr>
  </w:style>
  <w:style w:type="paragraph" w:customStyle="1" w:styleId="divHeaderControl">
    <w:name w:val="div_HeaderControl"/>
    <w:basedOn w:val="Normal"/>
    <w:rPr>
      <w:vanish/>
    </w:rPr>
  </w:style>
  <w:style w:type="paragraph" w:customStyle="1" w:styleId="angebotleiste">
    <w:name w:val="angebotleiste"/>
    <w:basedOn w:val="Normal"/>
  </w:style>
  <w:style w:type="paragraph" w:customStyle="1" w:styleId="ullinknavigationlinotout-of-viewport">
    <w:name w:val="ul_linknavigation_li_not(.out-of-viewport)"/>
    <w:basedOn w:val="Normal"/>
    <w:rPr>
      <w:sz w:val="19"/>
      <w:szCs w:val="19"/>
    </w:rPr>
  </w:style>
  <w:style w:type="paragraph" w:customStyle="1" w:styleId="ullinknavigationlia">
    <w:name w:val="ul_linknavigation_li_a"/>
    <w:basedOn w:val="Normal"/>
    <w:rPr>
      <w:color w:val="333333"/>
    </w:rPr>
  </w:style>
  <w:style w:type="paragraph" w:customStyle="1" w:styleId="divheader-group-left">
    <w:name w:val="div_header-group-left"/>
    <w:basedOn w:val="Normal"/>
  </w:style>
  <w:style w:type="paragraph" w:customStyle="1" w:styleId="divHeaderControldivheader-left">
    <w:name w:val="div_HeaderControl_div_header-left"/>
    <w:basedOn w:val="Normal"/>
  </w:style>
  <w:style w:type="paragraph" w:customStyle="1" w:styleId="divHeaderControldivheader-leftdivheader-left-top">
    <w:name w:val="div_HeaderControl_div_header-left_div_header-left-top"/>
    <w:basedOn w:val="Normal"/>
    <w:pPr>
      <w:shd w:val="clear" w:color="auto" w:fill="FFFFFF"/>
    </w:pPr>
    <w:rPr>
      <w:shd w:val="clear" w:color="auto" w:fill="FFFFFF"/>
    </w:rPr>
  </w:style>
  <w:style w:type="character" w:customStyle="1" w:styleId="divheader-leftdivheader-left-topa">
    <w:name w:val="div_header-left_div_header-left-top_a"/>
    <w:basedOn w:val="DefaultParagraphFont"/>
  </w:style>
  <w:style w:type="paragraph" w:customStyle="1" w:styleId="divheader-left-top-mobile">
    <w:name w:val="div_header-left-top-mobile"/>
    <w:basedOn w:val="Normal"/>
    <w:rPr>
      <w:vanish/>
    </w:rPr>
  </w:style>
  <w:style w:type="paragraph" w:customStyle="1" w:styleId="divheader-left-top-mobile-left">
    <w:name w:val="div_header-left-top-mobile-left"/>
    <w:basedOn w:val="Normal"/>
    <w:pPr>
      <w:jc w:val="right"/>
    </w:pPr>
  </w:style>
  <w:style w:type="paragraph" w:customStyle="1" w:styleId="divheader-left-top-mobile-right">
    <w:name w:val="div_header-left-top-mobile-right"/>
    <w:basedOn w:val="Normal"/>
  </w:style>
  <w:style w:type="paragraph" w:customStyle="1" w:styleId="divheader-leftdivheader-left-middle">
    <w:name w:val="div_header-left_div_header-left-middle"/>
    <w:basedOn w:val="Normal"/>
    <w:pPr>
      <w:pBdr>
        <w:bottom w:val="single" w:sz="6" w:space="0" w:color="FFFFFF"/>
      </w:pBdr>
    </w:pPr>
  </w:style>
  <w:style w:type="paragraph" w:customStyle="1" w:styleId="divheader-leftdivheader-left-bottom">
    <w:name w:val="div_header-left_div_header-left-bottom"/>
    <w:basedOn w:val="Normal"/>
  </w:style>
  <w:style w:type="paragraph" w:customStyle="1" w:styleId="divHeaderControldivheader-center">
    <w:name w:val="div_HeaderControl_div_header-center"/>
    <w:basedOn w:val="Normal"/>
  </w:style>
  <w:style w:type="paragraph" w:customStyle="1" w:styleId="divheader-centerdivheader-center-left">
    <w:name w:val="div_header-center_div_header-center-left"/>
    <w:basedOn w:val="Normal"/>
  </w:style>
  <w:style w:type="paragraph" w:customStyle="1" w:styleId="divHeaderControldivheader-centerdivheader-center-left-top">
    <w:name w:val="div_HeaderControl_div_header-center_div_header-center-left-top"/>
    <w:basedOn w:val="Normal"/>
    <w:pPr>
      <w:shd w:val="clear" w:color="auto" w:fill="FFFFFF"/>
    </w:pPr>
    <w:rPr>
      <w:shd w:val="clear" w:color="auto" w:fill="FFFFFF"/>
    </w:rPr>
  </w:style>
  <w:style w:type="paragraph" w:customStyle="1" w:styleId="divheader-center-leftdivheader-center-left-middle">
    <w:name w:val="div_header-center-left_div_header-center-left-middle"/>
    <w:basedOn w:val="Normal"/>
    <w:pPr>
      <w:pBdr>
        <w:bottom w:val="single" w:sz="6" w:space="0" w:color="FFFFFF"/>
      </w:pBdr>
    </w:pPr>
  </w:style>
  <w:style w:type="paragraph" w:customStyle="1" w:styleId="divheader-center-leftdivheader-center-left-bottom">
    <w:name w:val="div_header-center-left_div_header-center-left-bottom"/>
    <w:basedOn w:val="Normal"/>
  </w:style>
  <w:style w:type="paragraph" w:customStyle="1" w:styleId="divheader-centerdivheader-center-center">
    <w:name w:val="div_header-center_div_header-center-center"/>
    <w:basedOn w:val="Normal"/>
  </w:style>
  <w:style w:type="paragraph" w:customStyle="1" w:styleId="divHeaderControldivheader-centerdivheader-center-centerdivheader-center-center-top">
    <w:name w:val="div_HeaderControl_div_header-center_div_header-center-center_div_header-center-center-top"/>
    <w:basedOn w:val="Normal"/>
    <w:pPr>
      <w:shd w:val="clear" w:color="auto" w:fill="FFFFFF"/>
    </w:pPr>
    <w:rPr>
      <w:shd w:val="clear" w:color="auto" w:fill="FFFFFF"/>
    </w:rPr>
  </w:style>
  <w:style w:type="paragraph" w:customStyle="1" w:styleId="divheader-centerdivheader-center-center-bottom">
    <w:name w:val="div_header-center_div_header-center-center-bottom"/>
    <w:basedOn w:val="Normal"/>
  </w:style>
  <w:style w:type="paragraph" w:customStyle="1" w:styleId="any">
    <w:name w:val="any"/>
    <w:basedOn w:val="Normal"/>
  </w:style>
  <w:style w:type="paragraph" w:customStyle="1" w:styleId="divSearchFormControl">
    <w:name w:val="div_SearchFormControl"/>
    <w:basedOn w:val="Normal"/>
    <w:rPr>
      <w:vanish/>
    </w:rPr>
  </w:style>
  <w:style w:type="paragraph" w:customStyle="1" w:styleId="divSearchFormControldivSearchFormControlhintergrund">
    <w:name w:val="div_SearchFormControl_div_SearchFormControl_hintergrund"/>
    <w:basedOn w:val="Normal"/>
  </w:style>
  <w:style w:type="paragraph" w:customStyle="1" w:styleId="divSearchFormControldivsuchfeld">
    <w:name w:val="div_SearchFormControl_div_suchfeld"/>
    <w:basedOn w:val="Normal"/>
    <w:pPr>
      <w:pBdr>
        <w:top w:val="none" w:sz="0" w:space="3" w:color="auto"/>
        <w:left w:val="none" w:sz="0" w:space="0" w:color="auto"/>
        <w:bottom w:val="none" w:sz="0" w:space="0" w:color="auto"/>
        <w:right w:val="none" w:sz="0" w:space="0" w:color="auto"/>
      </w:pBdr>
    </w:pPr>
    <w:rPr>
      <w:sz w:val="22"/>
      <w:szCs w:val="22"/>
    </w:rPr>
  </w:style>
  <w:style w:type="paragraph" w:customStyle="1" w:styleId="divSearchFormControldivsuchfeldinputfelder">
    <w:name w:val="div_SearchFormControl_div_suchfeld_inputfelder"/>
    <w:basedOn w:val="Normal"/>
    <w:pPr>
      <w:pBdr>
        <w:top w:val="single" w:sz="6" w:space="0" w:color="827D6F"/>
        <w:right w:val="single" w:sz="6" w:space="0" w:color="827D6F"/>
      </w:pBdr>
      <w:shd w:val="clear" w:color="auto" w:fill="FFFFFF"/>
      <w:spacing w:line="312" w:lineRule="atLeast"/>
      <w:textAlignment w:val="center"/>
    </w:pPr>
    <w:rPr>
      <w:shd w:val="clear" w:color="auto" w:fill="FFFFFF"/>
    </w:rPr>
  </w:style>
  <w:style w:type="character" w:customStyle="1" w:styleId="divSearchFormControllabelwordslabel">
    <w:name w:val="div_SearchFormControl_label_words_label"/>
    <w:basedOn w:val="DefaultParagraphFont"/>
    <w:rPr>
      <w:color w:val="7A7569"/>
      <w:sz w:val="24"/>
      <w:szCs w:val="24"/>
    </w:rPr>
  </w:style>
  <w:style w:type="paragraph" w:customStyle="1" w:styleId="autocorrecttmpl">
    <w:name w:val="autocorrect_tmpl"/>
    <w:basedOn w:val="Normal"/>
    <w:pPr>
      <w:spacing w:line="405" w:lineRule="atLeast"/>
    </w:pPr>
    <w:rPr>
      <w:sz w:val="24"/>
      <w:szCs w:val="24"/>
    </w:rPr>
  </w:style>
  <w:style w:type="character" w:customStyle="1" w:styleId="alinknotbeck-btn">
    <w:name w:val="a_link_not(.beck-btn)"/>
    <w:basedOn w:val="DefaultParagraphFont"/>
  </w:style>
  <w:style w:type="character" w:customStyle="1" w:styleId="anyCharacter">
    <w:name w:val="any Character"/>
    <w:basedOn w:val="DefaultParagraphFont"/>
  </w:style>
  <w:style w:type="paragraph" w:customStyle="1" w:styleId="divdetailsuchereiter">
    <w:name w:val="div_detailsuchereiter"/>
    <w:basedOn w:val="Normal"/>
  </w:style>
  <w:style w:type="paragraph" w:customStyle="1" w:styleId="divSearchFormControldivdetailsuchereiterul">
    <w:name w:val="div_SearchFormControl_div_detailsuchereiterul"/>
    <w:basedOn w:val="Normal"/>
  </w:style>
  <w:style w:type="character" w:customStyle="1" w:styleId="divdetailsuchereitera">
    <w:name w:val="div_detailsuchereiter_a"/>
    <w:basedOn w:val="DefaultParagraphFont"/>
    <w:rPr>
      <w:color w:val="FFFFFF"/>
      <w:sz w:val="20"/>
      <w:szCs w:val="20"/>
    </w:rPr>
  </w:style>
  <w:style w:type="character" w:customStyle="1" w:styleId="divSearchFormControllabelsearchcheckboxes">
    <w:name w:val="div_SearchFormControl_label_searchcheckboxes"/>
    <w:basedOn w:val="DefaultParagraphFont"/>
    <w:rPr>
      <w:color w:val="FFFFFF"/>
      <w:sz w:val="20"/>
      <w:szCs w:val="20"/>
    </w:rPr>
  </w:style>
  <w:style w:type="paragraph" w:customStyle="1" w:styleId="divsearchcheckboxescontainerdivsearchcheckboxes">
    <w:name w:val="div_searchcheckboxescontainer_div_searchcheckboxes"/>
    <w:basedOn w:val="Normal"/>
  </w:style>
  <w:style w:type="paragraph" w:customStyle="1" w:styleId="divdetailsuchereitersearchfilter">
    <w:name w:val="div_detailsuchereiter_searchfilter"/>
    <w:basedOn w:val="Normal"/>
  </w:style>
  <w:style w:type="character" w:customStyle="1" w:styleId="detailsuchereiterdivsearchfilterspanshow-on-small">
    <w:name w:val="detailsuchereiter_div_searchfilter_span_show-on-small"/>
    <w:basedOn w:val="DefaultParagraphFont"/>
    <w:rPr>
      <w:vanish/>
    </w:rPr>
  </w:style>
  <w:style w:type="paragraph" w:customStyle="1" w:styleId="divdetailsucherechtdivdetailsearchrightaspandiv">
    <w:name w:val="div_detailsucherecht_div_detailsearch_right_a_span_div"/>
    <w:basedOn w:val="Normal"/>
  </w:style>
  <w:style w:type="character" w:customStyle="1" w:styleId="divdetailsuchereiterspannonamedsubuser">
    <w:name w:val="div_detailsuchereiter_span_nonamedsubuser"/>
    <w:basedOn w:val="DefaultParagraphFont"/>
    <w:rPr>
      <w:color w:val="BEBEBE"/>
    </w:rPr>
  </w:style>
  <w:style w:type="character" w:customStyle="1" w:styleId="divSearchFormControlsearchformlbl">
    <w:name w:val="div_SearchFormControl_searchformlbl"/>
    <w:basedOn w:val="DefaultParagraphFont"/>
    <w:rPr>
      <w:bdr w:val="none" w:sz="0" w:space="0" w:color="auto"/>
    </w:rPr>
  </w:style>
  <w:style w:type="paragraph" w:customStyle="1" w:styleId="divheader-centerdivheader-center-centerdivheader-center-center-bottom-mobile">
    <w:name w:val="div_header-center_div_header-center-center_div_header-center-center-bottom-mobile"/>
    <w:basedOn w:val="Normal"/>
    <w:rPr>
      <w:vanish/>
    </w:rPr>
  </w:style>
  <w:style w:type="paragraph" w:customStyle="1" w:styleId="divheader-center-centerdivheader-center-center-bottom-mobiledivheader-center-center-bottom-mobile-left">
    <w:name w:val="div_header-center-center_div_header-center-center-bottom-mobile_div_header-center-center-bottom-mobile-left"/>
    <w:basedOn w:val="Normal"/>
  </w:style>
  <w:style w:type="paragraph" w:customStyle="1" w:styleId="divheader-center-centerdivheader-center-center-bottom-mobile-right">
    <w:name w:val="div_header-center-center_div_header-center-center-bottom-mobile-right"/>
    <w:basedOn w:val="Normal"/>
    <w:pPr>
      <w:shd w:val="clear" w:color="auto" w:fill="FFFFFF"/>
    </w:pPr>
    <w:rPr>
      <w:shd w:val="clear" w:color="auto" w:fill="FFFFFF"/>
    </w:rPr>
  </w:style>
  <w:style w:type="paragraph" w:customStyle="1" w:styleId="divheader-centerdivheader-center-right">
    <w:name w:val="div_header-center_div_header-center-right"/>
    <w:basedOn w:val="Normal"/>
  </w:style>
  <w:style w:type="paragraph" w:customStyle="1" w:styleId="divHeaderControldivheader-centerdivheader-center-right-top">
    <w:name w:val="div_HeaderControl_div_header-center_div_header-center-right-top"/>
    <w:basedOn w:val="Normal"/>
    <w:pPr>
      <w:shd w:val="clear" w:color="auto" w:fill="FFFFFF"/>
    </w:pPr>
    <w:rPr>
      <w:shd w:val="clear" w:color="auto" w:fill="FFFFFF"/>
    </w:rPr>
  </w:style>
  <w:style w:type="paragraph" w:customStyle="1" w:styleId="divheader-center-rightdivheader-center-right-middle">
    <w:name w:val="div_header-center-right_div_header-center-right-middle"/>
    <w:basedOn w:val="Normal"/>
    <w:pPr>
      <w:pBdr>
        <w:bottom w:val="none" w:sz="0" w:space="0" w:color="auto"/>
      </w:pBdr>
    </w:pPr>
  </w:style>
  <w:style w:type="paragraph" w:customStyle="1" w:styleId="divheader-centerdivheader-center-rightdivheader-center-right-bottom">
    <w:name w:val="div_header-center_div_header-center-right_div_header-center-right-bottom"/>
    <w:basedOn w:val="Normal"/>
  </w:style>
  <w:style w:type="paragraph" w:customStyle="1" w:styleId="divHeaderControldivheader-right">
    <w:name w:val="div_HeaderControl_div_header-right"/>
    <w:basedOn w:val="Normal"/>
  </w:style>
  <w:style w:type="paragraph" w:customStyle="1" w:styleId="divHeaderControldivheader-rightdivheader-right-top">
    <w:name w:val="div_HeaderControl_div_header-right_div_header-right-top"/>
    <w:basedOn w:val="Normal"/>
    <w:pPr>
      <w:shd w:val="clear" w:color="auto" w:fill="FFFFFF"/>
    </w:pPr>
    <w:rPr>
      <w:shd w:val="clear" w:color="auto" w:fill="FFFFFF"/>
    </w:rPr>
  </w:style>
  <w:style w:type="paragraph" w:customStyle="1" w:styleId="divrechtes-site-logo">
    <w:name w:val="div_rechtes-site-logo"/>
    <w:basedOn w:val="Normal"/>
    <w:pPr>
      <w:pBdr>
        <w:top w:val="none" w:sz="0" w:space="17" w:color="auto"/>
        <w:right w:val="none" w:sz="0" w:space="7" w:color="auto"/>
      </w:pBdr>
    </w:pPr>
  </w:style>
  <w:style w:type="paragraph" w:customStyle="1" w:styleId="divheader-rightdivheader-right-middle">
    <w:name w:val="div_header-right_div_header-right-middle"/>
    <w:basedOn w:val="Normal"/>
    <w:pPr>
      <w:pBdr>
        <w:bottom w:val="single" w:sz="6" w:space="0" w:color="FFFFFF"/>
      </w:pBdr>
    </w:pPr>
  </w:style>
  <w:style w:type="paragraph" w:customStyle="1" w:styleId="divheadercontent">
    <w:name w:val="div_headercontent"/>
    <w:basedOn w:val="Normal"/>
  </w:style>
  <w:style w:type="character" w:customStyle="1" w:styleId="headermenulinkmedium">
    <w:name w:val="headermenulinkmedium"/>
    <w:basedOn w:val="DefaultParagraphFont"/>
    <w:rPr>
      <w:vanish/>
    </w:rPr>
  </w:style>
  <w:style w:type="character" w:customStyle="1" w:styleId="headermenulinkmobile">
    <w:name w:val="headermenulinkmobile"/>
    <w:basedOn w:val="DefaultParagraphFont"/>
    <w:rPr>
      <w:vanish/>
    </w:rPr>
  </w:style>
  <w:style w:type="paragraph" w:customStyle="1" w:styleId="divheader-right-middledivheadercontentdivheadercontentleft">
    <w:name w:val="div_header-right-middle_div_headercontent_div_headercontentleft"/>
    <w:basedOn w:val="Normal"/>
    <w:pPr>
      <w:pBdr>
        <w:right w:val="single" w:sz="6" w:space="0" w:color="FFFFFF"/>
      </w:pBdr>
    </w:pPr>
  </w:style>
  <w:style w:type="paragraph" w:customStyle="1" w:styleId="divheadercontentleftdiv">
    <w:name w:val="div_headercontentleft_div"/>
    <w:basedOn w:val="Normal"/>
    <w:pPr>
      <w:pBdr>
        <w:left w:val="single" w:sz="6" w:space="0" w:color="FFFFFF"/>
      </w:pBdr>
    </w:pPr>
  </w:style>
  <w:style w:type="character" w:customStyle="1" w:styleId="divHeaderControldivheader-right-middledivheadercontentdiva">
    <w:name w:val="div_HeaderControl_div_header-right-middle_div_headercontent_div_a"/>
    <w:basedOn w:val="DefaultParagraphFont"/>
  </w:style>
  <w:style w:type="paragraph" w:customStyle="1" w:styleId="headercontentdivhomeImageId">
    <w:name w:val="headercontent_div_homeImageId"/>
    <w:basedOn w:val="Normal"/>
    <w:rPr>
      <w:vanish/>
    </w:rPr>
  </w:style>
  <w:style w:type="paragraph" w:customStyle="1" w:styleId="divservice">
    <w:name w:val="div_service"/>
    <w:basedOn w:val="Normal"/>
    <w:pPr>
      <w:pBdr>
        <w:top w:val="none" w:sz="0" w:space="0" w:color="auto"/>
        <w:left w:val="none" w:sz="0" w:space="3" w:color="auto"/>
        <w:bottom w:val="none" w:sz="0" w:space="0" w:color="auto"/>
        <w:right w:val="none" w:sz="0" w:space="3" w:color="auto"/>
      </w:pBdr>
    </w:pPr>
  </w:style>
  <w:style w:type="paragraph" w:customStyle="1" w:styleId="divheader-rightdivheader-right-bottom">
    <w:name w:val="div_header-right_div_header-right-bottom"/>
    <w:basedOn w:val="Normal"/>
  </w:style>
  <w:style w:type="paragraph" w:customStyle="1" w:styleId="divheader-right-bottomdivheader-right-bottom-left">
    <w:name w:val="div_header-right-bottom_div_header-right-bottom-left"/>
    <w:basedOn w:val="Normal"/>
  </w:style>
  <w:style w:type="paragraph" w:customStyle="1" w:styleId="divheader-right-bottomdivheader-right-bottom-right">
    <w:name w:val="div_header-right-bottom_div_header-right-bottom-right"/>
    <w:basedOn w:val="Normal"/>
  </w:style>
  <w:style w:type="paragraph" w:customStyle="1" w:styleId="divheader-right-bottomdivheader-right-bottom-rightdivheader-right-bottom-right-top">
    <w:name w:val="div_header-right-bottom_div_header-right-bottom-right_div_header-right-bottom-right-top"/>
    <w:basedOn w:val="Normal"/>
  </w:style>
  <w:style w:type="character" w:customStyle="1" w:styleId="aheaderuseranmelden">
    <w:name w:val="a_headeruseranmelden"/>
    <w:basedOn w:val="DefaultParagraphFont"/>
    <w:rPr>
      <w:vanish/>
    </w:rPr>
  </w:style>
  <w:style w:type="paragraph" w:customStyle="1" w:styleId="divheadercontentdivheadercontentbottom">
    <w:name w:val="div_headercontent_div_headercontentbottom"/>
    <w:basedOn w:val="Normal"/>
    <w:pPr>
      <w:pBdr>
        <w:right w:val="single" w:sz="6" w:space="0" w:color="FFFFFF"/>
      </w:pBdr>
    </w:pPr>
  </w:style>
  <w:style w:type="paragraph" w:customStyle="1" w:styleId="divheadercontentbottomdiv">
    <w:name w:val="div_headercontentbottom &gt; div"/>
    <w:basedOn w:val="Normal"/>
    <w:pPr>
      <w:pBdr>
        <w:left w:val="single" w:sz="6" w:space="0" w:color="FFFFFF"/>
      </w:pBdr>
    </w:pPr>
  </w:style>
  <w:style w:type="character" w:customStyle="1" w:styleId="aheaderusermedium">
    <w:name w:val="a_headerusermedium"/>
    <w:basedOn w:val="DefaultParagraphFont"/>
  </w:style>
  <w:style w:type="paragraph" w:customStyle="1" w:styleId="divheader-right-bottom-rightdivheader-right-bottom-right-bottom">
    <w:name w:val="div_header-right-bottom-right_div_header-right-bottom-right-bottom"/>
    <w:basedOn w:val="Normal"/>
    <w:pPr>
      <w:shd w:val="clear" w:color="auto" w:fill="FFFFFF"/>
    </w:pPr>
    <w:rPr>
      <w:shd w:val="clear" w:color="auto" w:fill="FFFFFF"/>
    </w:rPr>
  </w:style>
  <w:style w:type="paragraph" w:customStyle="1" w:styleId="divrechtes-site-logo-mobile">
    <w:name w:val="div_rechtes-site-logo-mobile"/>
    <w:basedOn w:val="Normal"/>
    <w:rPr>
      <w:vanish/>
    </w:rPr>
  </w:style>
  <w:style w:type="paragraph" w:customStyle="1" w:styleId="toolleiste">
    <w:name w:val="toolleiste"/>
    <w:basedOn w:val="Normal"/>
    <w:rPr>
      <w:vanish/>
    </w:rPr>
  </w:style>
  <w:style w:type="paragraph" w:customStyle="1" w:styleId="toolleistetoolleiste-iconwrapper">
    <w:name w:val="toolleiste_toolleiste-iconwrapper"/>
    <w:basedOn w:val="Normal"/>
    <w:pPr>
      <w:jc w:val="left"/>
    </w:pPr>
  </w:style>
  <w:style w:type="paragraph" w:customStyle="1" w:styleId="toolleistetoolleiste-iconwrapperdivtoolleiste-icon">
    <w:name w:val="toolleiste_toolleiste-iconwrapper_div_toolleiste-icon"/>
    <w:basedOn w:val="Normal"/>
  </w:style>
  <w:style w:type="character" w:customStyle="1" w:styleId="toolleistetoolleiste-iconwrapperdivtoolleiste-icona">
    <w:name w:val="toolleiste_toolleiste-iconwrapper_div_toolleiste-icon_a"/>
    <w:basedOn w:val="DefaultParagraphFont"/>
  </w:style>
  <w:style w:type="paragraph" w:customStyle="1" w:styleId="toolleistetoolleiste-indicatoriconwrapper">
    <w:name w:val="toolleiste_toolleiste-indicatoriconwrapper"/>
    <w:basedOn w:val="Normal"/>
  </w:style>
  <w:style w:type="character" w:customStyle="1" w:styleId="main">
    <w:name w:val="main"/>
    <w:basedOn w:val="DefaultParagraphFont"/>
  </w:style>
  <w:style w:type="paragraph" w:customStyle="1" w:styleId="divbocontentwrapper">
    <w:name w:val="div_bo_contentwrapper"/>
    <w:basedOn w:val="Normal"/>
    <w:rPr>
      <w:sz w:val="22"/>
      <w:szCs w:val="22"/>
    </w:rPr>
  </w:style>
  <w:style w:type="paragraph" w:customStyle="1" w:styleId="divbocontentwrapperboleft">
    <w:name w:val="div_bo_contentwrapper &gt; bo_left"/>
    <w:basedOn w:val="Normal"/>
    <w:pPr>
      <w:shd w:val="clear" w:color="auto" w:fill="FFFFFF"/>
    </w:pPr>
    <w:rPr>
      <w:shd w:val="clear" w:color="auto" w:fill="FFFFFF"/>
    </w:rPr>
  </w:style>
  <w:style w:type="paragraph" w:customStyle="1" w:styleId="bocontentwrapperboleftboleftborder">
    <w:name w:val="bo_contentwrapper &gt; bo_left &gt; bo_left_border"/>
    <w:basedOn w:val="Normal"/>
  </w:style>
  <w:style w:type="paragraph" w:customStyle="1" w:styleId="bocontentwrapperboleftboleftcontent">
    <w:name w:val="bo_contentwrapper &gt; bo_left &gt; bo_left_content"/>
    <w:basedOn w:val="Normal"/>
  </w:style>
  <w:style w:type="paragraph" w:customStyle="1" w:styleId="boleftalink">
    <w:name w:val="bo_left_a_link"/>
    <w:basedOn w:val="Normal"/>
    <w:rPr>
      <w:color w:val="000000"/>
    </w:rPr>
  </w:style>
  <w:style w:type="paragraph" w:customStyle="1" w:styleId="beck-tabsbeck-tabs-linkdiv">
    <w:name w:val="beck-tabs_beck-tabs-link_div"/>
    <w:basedOn w:val="Normal"/>
    <w:pPr>
      <w:spacing w:line="264" w:lineRule="atLeast"/>
    </w:pPr>
  </w:style>
  <w:style w:type="character" w:customStyle="1" w:styleId="beck-tabsbeck-tabs-linki">
    <w:name w:val="beck-tabs_beck-tabs-link_i"/>
    <w:basedOn w:val="DefaultParagraphFont"/>
  </w:style>
  <w:style w:type="character" w:customStyle="1" w:styleId="divboshowleftcontentbeck-tabsbeck-tabs-linkspanbeck-tabs-info">
    <w:name w:val="div_bo_show_left_content_beck-tabs_beck-tabs-link_span_beck-tabs-info"/>
    <w:basedOn w:val="DefaultParagraphFont"/>
  </w:style>
  <w:style w:type="paragraph" w:customStyle="1" w:styleId="divmvcWidget">
    <w:name w:val="div_mvcWidget"/>
    <w:basedOn w:val="Normal"/>
    <w:pPr>
      <w:spacing w:line="270" w:lineRule="atLeast"/>
    </w:pPr>
  </w:style>
  <w:style w:type="paragraph" w:customStyle="1" w:styleId="divmvcWidgetkastenTitle">
    <w:name w:val="div_mvcWidget &gt; kastenTitle"/>
    <w:basedOn w:val="Normal"/>
    <w:pPr>
      <w:pBdr>
        <w:top w:val="none" w:sz="0" w:space="1" w:color="auto"/>
        <w:left w:val="none" w:sz="0" w:space="7" w:color="auto"/>
        <w:bottom w:val="none" w:sz="0" w:space="1" w:color="auto"/>
        <w:right w:val="none" w:sz="0" w:space="7" w:color="auto"/>
      </w:pBdr>
      <w:spacing w:line="345" w:lineRule="atLeast"/>
    </w:pPr>
    <w:rPr>
      <w:b/>
      <w:bCs/>
      <w:sz w:val="28"/>
      <w:szCs w:val="28"/>
    </w:rPr>
  </w:style>
  <w:style w:type="paragraph" w:customStyle="1" w:styleId="boleftbokastenulli">
    <w:name w:val="bo_left_bo_kasten_ul_li"/>
    <w:basedOn w:val="Normal"/>
  </w:style>
  <w:style w:type="paragraph" w:customStyle="1" w:styleId="boleftmvcWidgetullia">
    <w:name w:val="bo_lef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mvcWidgethasvisiblechildrenh3">
    <w:name w:val="div_mvcWidget_hasvisiblechildren_h3"/>
    <w:basedOn w:val="Normal"/>
    <w:rPr>
      <w:sz w:val="22"/>
      <w:szCs w:val="22"/>
    </w:rPr>
  </w:style>
  <w:style w:type="paragraph" w:customStyle="1" w:styleId="boleftmvcWidgetulliawidget-offennth-last-child1">
    <w:name w:val="bo_left_mvcWidget_ul_li_a_widget-offen_nth-last-child(1)"/>
    <w:basedOn w:val="Normal"/>
    <w:pPr>
      <w:pBdr>
        <w:bottom w:val="none" w:sz="0" w:space="0" w:color="auto"/>
      </w:pBdr>
    </w:pPr>
  </w:style>
  <w:style w:type="paragraph" w:customStyle="1" w:styleId="boleftmvcWidgetulliullidiv">
    <w:name w:val="bo_left_mvcWidget &gt; ul &gt; li_ul &gt; li &gt; div"/>
    <w:basedOn w:val="Normal"/>
    <w:pPr>
      <w:pBdr>
        <w:left w:val="none" w:sz="0" w:space="8" w:color="auto"/>
      </w:pBdr>
    </w:pPr>
  </w:style>
  <w:style w:type="paragraph" w:customStyle="1" w:styleId="boleftmvcWidgetnotmeineWerkeulliullia">
    <w:name w:val="bo_left_mvcWidget_not(.meineWerke) &gt; ul &gt; li_ul &gt; li_a"/>
    <w:basedOn w:val="Normal"/>
    <w:pPr>
      <w:pBdr>
        <w:left w:val="none" w:sz="0" w:space="8" w:color="auto"/>
      </w:pBdr>
    </w:pPr>
  </w:style>
  <w:style w:type="paragraph" w:customStyle="1" w:styleId="boleftmvcWidgetullinth-last-child1">
    <w:name w:val="bo_left_mvcWidget_ul_li_nth-last-child(1)"/>
    <w:basedOn w:val="Normal"/>
    <w:pPr>
      <w:pBdr>
        <w:bottom w:val="none" w:sz="0" w:space="9" w:color="auto"/>
      </w:pBdr>
    </w:pPr>
  </w:style>
  <w:style w:type="paragraph" w:customStyle="1" w:styleId="bocontentwrapperbocenter">
    <w:name w:val="bo_contentwrapper &gt; bo_center"/>
    <w:basedOn w:val="Normal"/>
    <w:pPr>
      <w:pBdr>
        <w:top w:val="none" w:sz="0" w:space="0" w:color="auto"/>
        <w:left w:val="none" w:sz="0" w:space="0" w:color="auto"/>
        <w:bottom w:val="none" w:sz="0" w:space="0" w:color="auto"/>
        <w:right w:val="none" w:sz="0" w:space="0" w:color="auto"/>
      </w:pBdr>
    </w:pPr>
  </w:style>
  <w:style w:type="character" w:customStyle="1" w:styleId="bomodulprinttitle">
    <w:name w:val="bo_modul_print_title"/>
    <w:basedOn w:val="DefaultParagraphFont"/>
  </w:style>
  <w:style w:type="paragraph" w:customStyle="1" w:styleId="bocenterdivbomodulselected">
    <w:name w:val="bo_center &gt; div_bo_modul_selected"/>
    <w:basedOn w:val="Normal"/>
    <w:pPr>
      <w:pBdr>
        <w:top w:val="none" w:sz="0" w:space="0" w:color="auto"/>
        <w:left w:val="none" w:sz="0" w:space="0" w:color="auto"/>
        <w:bottom w:val="none" w:sz="0" w:space="6" w:color="auto"/>
        <w:right w:val="none" w:sz="0" w:space="0" w:color="auto"/>
      </w:pBdr>
      <w:spacing w:line="270" w:lineRule="atLeast"/>
    </w:pPr>
    <w:rPr>
      <w:bdr w:val="none" w:sz="0" w:space="0" w:color="auto"/>
    </w:rPr>
  </w:style>
  <w:style w:type="paragraph" w:customStyle="1" w:styleId="bocenterdivbomodulselectedbomodultitle">
    <w:name w:val="bo_center &gt; div_bo_modul_selected_bo_modul_title"/>
    <w:basedOn w:val="Normal"/>
    <w:pPr>
      <w:pBdr>
        <w:top w:val="none" w:sz="0" w:space="3" w:color="auto"/>
        <w:left w:val="none" w:sz="0" w:space="0" w:color="auto"/>
        <w:bottom w:val="none" w:sz="0" w:space="3" w:color="auto"/>
        <w:right w:val="none" w:sz="0" w:space="0" w:color="auto"/>
      </w:pBdr>
    </w:pPr>
  </w:style>
  <w:style w:type="paragraph" w:customStyle="1" w:styleId="bocenterdivbomodulselectedbomodultitleh1">
    <w:name w:val="bo_center &gt; div_bo_modul_selected_bo_modul_title_h1"/>
    <w:basedOn w:val="Normal"/>
  </w:style>
  <w:style w:type="paragraph" w:customStyle="1" w:styleId="hidden-print">
    <w:name w:val="hidden-print"/>
    <w:basedOn w:val="Normal"/>
    <w:rPr>
      <w:vanish/>
    </w:rPr>
  </w:style>
  <w:style w:type="paragraph" w:customStyle="1" w:styleId="divbocontentwrapperbocenterp">
    <w:name w:val="div_bo_contentwrapper_bo_center_p"/>
    <w:basedOn w:val="Normal"/>
  </w:style>
  <w:style w:type="character" w:customStyle="1" w:styleId="bocontentwrapperbocenteranotbeck-btn">
    <w:name w:val="bo_contentwrapper_bo_center_a_not(.beck-btn)"/>
    <w:basedOn w:val="DefaultParagraphFont"/>
    <w:rPr>
      <w:color w:val="C8000A"/>
    </w:rPr>
  </w:style>
  <w:style w:type="paragraph" w:customStyle="1" w:styleId="beck-tabs-on-moduleview">
    <w:name w:val="beck-tabs-on-moduleview"/>
    <w:basedOn w:val="Normal"/>
  </w:style>
  <w:style w:type="paragraph" w:customStyle="1" w:styleId="divbomodulexport">
    <w:name w:val="div_bo_modul_export"/>
    <w:basedOn w:val="Normal"/>
    <w:pPr>
      <w:pBdr>
        <w:top w:val="none" w:sz="0" w:space="7" w:color="auto"/>
        <w:left w:val="none" w:sz="0" w:space="7" w:color="auto"/>
        <w:bottom w:val="none" w:sz="0" w:space="7" w:color="auto"/>
        <w:right w:val="none" w:sz="0" w:space="7" w:color="auto"/>
      </w:pBdr>
      <w:jc w:val="right"/>
    </w:pPr>
  </w:style>
  <w:style w:type="paragraph" w:customStyle="1" w:styleId="clear">
    <w:name w:val="clear"/>
    <w:basedOn w:val="Normal"/>
  </w:style>
  <w:style w:type="paragraph" w:customStyle="1" w:styleId="bocenterbomodulinhaltdivColumnLeft">
    <w:name w:val="bo_center_bo_modul_inhalt_div_ColumnLeft"/>
    <w:basedOn w:val="Normal"/>
  </w:style>
  <w:style w:type="paragraph" w:customStyle="1" w:styleId="bocenterbomodulinhaltdivbokasten">
    <w:name w:val="bo_center_bo_modul_inhalt_div_bo_kasten"/>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bocenterbokastenh3">
    <w:name w:val="bo_center_bo_kasten_h3"/>
    <w:basedOn w:val="Normal"/>
    <w:pPr>
      <w:keepNext/>
      <w:pBdr>
        <w:top w:val="none" w:sz="0" w:space="3" w:color="auto"/>
        <w:left w:val="none" w:sz="0" w:space="0" w:color="auto"/>
        <w:bottom w:val="none" w:sz="0" w:space="3" w:color="auto"/>
        <w:right w:val="none" w:sz="0" w:space="0" w:color="auto"/>
      </w:pBdr>
    </w:pPr>
    <w:rPr>
      <w:b/>
      <w:bCs/>
      <w:color w:val="C8000A"/>
      <w:sz w:val="28"/>
      <w:szCs w:val="28"/>
    </w:rPr>
  </w:style>
  <w:style w:type="paragraph" w:customStyle="1" w:styleId="bocenterbokastenbokastenrahmen">
    <w:name w:val="bo_center_bo_kasten_bo_kastenrahmen"/>
    <w:basedOn w:val="Normal"/>
    <w:pPr>
      <w:pBdr>
        <w:top w:val="none" w:sz="0" w:space="3" w:color="auto"/>
        <w:left w:val="none" w:sz="0" w:space="18" w:color="auto"/>
        <w:bottom w:val="none" w:sz="0" w:space="6" w:color="auto"/>
        <w:right w:val="none" w:sz="0" w:space="6" w:color="auto"/>
      </w:pBdr>
    </w:pPr>
  </w:style>
  <w:style w:type="paragraph" w:customStyle="1" w:styleId="divbocontentwrapperbocenterdivbokastenrahmenp">
    <w:name w:val="div_bo_contentwrapper_bo_center_div_bo_kastenrahmen_p"/>
    <w:basedOn w:val="Normal"/>
    <w:pPr>
      <w:pBdr>
        <w:left w:val="none" w:sz="0" w:space="0" w:color="auto"/>
      </w:pBdr>
    </w:pPr>
  </w:style>
  <w:style w:type="paragraph" w:customStyle="1" w:styleId="bocenterbomodulinhaltboopus">
    <w:name w:val="bo_center_bo_modul_inhalt_bo_opus"/>
    <w:basedOn w:val="Normal"/>
    <w:pPr>
      <w:pBdr>
        <w:left w:val="none" w:sz="0" w:space="15" w:color="auto"/>
      </w:pBdr>
    </w:pPr>
  </w:style>
  <w:style w:type="paragraph" w:customStyle="1" w:styleId="bocenterArrowMiddleColumnTop">
    <w:name w:val="bo_center_ArrowMiddleColumnTop"/>
    <w:basedOn w:val="Normal"/>
    <w:pPr>
      <w:pBdr>
        <w:left w:val="none" w:sz="0" w:space="10" w:color="auto"/>
      </w:pBdr>
    </w:pPr>
  </w:style>
  <w:style w:type="paragraph" w:customStyle="1" w:styleId="bocenterdivopusline">
    <w:name w:val="bo_center_div_opusline"/>
    <w:basedOn w:val="Normal"/>
  </w:style>
  <w:style w:type="character" w:customStyle="1" w:styleId="bo-badge-highlight">
    <w:name w:val="bo-badge-highlight"/>
    <w:basedOn w:val="DefaultParagraphFont"/>
    <w:rPr>
      <w:b/>
      <w:bCs/>
      <w:i w:val="0"/>
      <w:iCs w:val="0"/>
      <w:color w:val="C8000A"/>
      <w:sz w:val="14"/>
      <w:szCs w:val="14"/>
      <w:bdr w:val="single" w:sz="6" w:space="0" w:color="C8000A"/>
      <w:shd w:val="clear" w:color="auto" w:fill="FFFFFF"/>
    </w:rPr>
  </w:style>
  <w:style w:type="character" w:customStyle="1" w:styleId="bo-badge">
    <w:name w:val="bo-badge"/>
    <w:basedOn w:val="DefaultParagraphFont"/>
    <w:rPr>
      <w:b/>
      <w:bCs/>
      <w:i w:val="0"/>
      <w:iCs w:val="0"/>
      <w:color w:val="FFFFFF"/>
      <w:sz w:val="14"/>
      <w:szCs w:val="14"/>
      <w:shd w:val="clear" w:color="auto" w:fill="C8000A"/>
    </w:rPr>
  </w:style>
  <w:style w:type="paragraph" w:customStyle="1" w:styleId="bocenterbomodulinhaltdivColumnRight">
    <w:name w:val="bo_center_bo_modul_inhalt_div_ColumnRight"/>
    <w:basedOn w:val="Normal"/>
  </w:style>
  <w:style w:type="paragraph" w:customStyle="1" w:styleId="divDetailledContentView">
    <w:name w:val="div_DetailledContentView"/>
    <w:basedOn w:val="Normal"/>
    <w:pPr>
      <w:pBdr>
        <w:top w:val="none" w:sz="0" w:space="0" w:color="auto"/>
        <w:left w:val="none" w:sz="0" w:space="8" w:color="auto"/>
        <w:bottom w:val="none" w:sz="0" w:space="0" w:color="auto"/>
        <w:right w:val="none" w:sz="0" w:space="8" w:color="auto"/>
      </w:pBdr>
      <w:shd w:val="clear" w:color="auto" w:fill="BD2726"/>
      <w:spacing w:line="360" w:lineRule="atLeast"/>
    </w:pPr>
    <w:rPr>
      <w:b/>
      <w:bCs/>
      <w:color w:val="FFFFFF"/>
      <w:sz w:val="18"/>
      <w:szCs w:val="18"/>
      <w:bdr w:val="none" w:sz="0" w:space="0" w:color="auto"/>
      <w:shd w:val="clear" w:color="auto" w:fill="BD2726"/>
    </w:rPr>
  </w:style>
  <w:style w:type="paragraph" w:customStyle="1" w:styleId="bocenterdivColumnLeft">
    <w:name w:val="bo_center_div_ColumnLeft"/>
    <w:basedOn w:val="Normal"/>
    <w:pPr>
      <w:pBdr>
        <w:right w:val="none" w:sz="0" w:space="3" w:color="auto"/>
      </w:pBdr>
    </w:pPr>
  </w:style>
  <w:style w:type="paragraph" w:customStyle="1" w:styleId="bocenterdivbokasten">
    <w:name w:val="bo_center_div_bo_kasten"/>
    <w:basedOn w:val="Normal"/>
    <w:pPr>
      <w:pBdr>
        <w:top w:val="single" w:sz="6" w:space="6" w:color="DADADA"/>
        <w:left w:val="single" w:sz="6" w:space="12" w:color="DADADA"/>
        <w:bottom w:val="single" w:sz="6" w:space="6" w:color="DADADA"/>
        <w:right w:val="single" w:sz="6" w:space="12" w:color="DADADA"/>
      </w:pBdr>
      <w:spacing w:line="255" w:lineRule="atLeast"/>
    </w:pPr>
    <w:rPr>
      <w:bdr w:val="single" w:sz="6" w:space="0" w:color="DADADA"/>
    </w:rPr>
  </w:style>
  <w:style w:type="paragraph" w:customStyle="1" w:styleId="boopus">
    <w:name w:val="bo_opus"/>
    <w:basedOn w:val="Normal"/>
    <w:pPr>
      <w:pBdr>
        <w:top w:val="none" w:sz="0" w:space="3" w:color="auto"/>
        <w:left w:val="none" w:sz="0" w:space="0" w:color="auto"/>
        <w:bottom w:val="none" w:sz="0" w:space="3" w:color="auto"/>
        <w:right w:val="none" w:sz="0" w:space="0" w:color="auto"/>
      </w:pBdr>
    </w:pPr>
  </w:style>
  <w:style w:type="paragraph" w:customStyle="1" w:styleId="bocenterArrowMiddleColumn">
    <w:name w:val="bo_center_ArrowMiddleColumn"/>
    <w:basedOn w:val="Normal"/>
    <w:pPr>
      <w:pBdr>
        <w:left w:val="none" w:sz="0" w:space="10" w:color="auto"/>
      </w:pBdr>
    </w:pPr>
  </w:style>
  <w:style w:type="paragraph" w:customStyle="1" w:styleId="divbocontentwrapperdivboopusdivopusBild">
    <w:name w:val="div_bo_contentwrapper_div_bo_opus_div_opusBild"/>
    <w:basedOn w:val="Normal"/>
  </w:style>
  <w:style w:type="paragraph" w:customStyle="1" w:styleId="bocontentwrapperbocenteranotbeck-btnParagraph">
    <w:name w:val="bo_contentwrapper_bo_center_a_not(.beck-btn) Paragraph"/>
    <w:basedOn w:val="Normal"/>
    <w:rPr>
      <w:color w:val="C8000A"/>
    </w:rPr>
  </w:style>
  <w:style w:type="paragraph" w:customStyle="1" w:styleId="nosee">
    <w:name w:val="nosee"/>
    <w:basedOn w:val="Normal"/>
    <w:rPr>
      <w:vanish/>
    </w:rPr>
  </w:style>
  <w:style w:type="paragraph" w:customStyle="1" w:styleId="bocenterdivColumnRight">
    <w:name w:val="bo_center_div_ColumnRight"/>
    <w:basedOn w:val="Normal"/>
    <w:pPr>
      <w:pBdr>
        <w:right w:val="none" w:sz="0" w:space="3" w:color="auto"/>
      </w:pBdr>
    </w:pPr>
  </w:style>
  <w:style w:type="character" w:customStyle="1" w:styleId="out-of-viewport">
    <w:name w:val="out-of-viewport"/>
    <w:basedOn w:val="DefaultParagraphFont"/>
    <w:rPr>
      <w:vanish/>
    </w:rPr>
  </w:style>
  <w:style w:type="paragraph" w:customStyle="1" w:styleId="divbocontentwrapperboright">
    <w:name w:val="div_bo_contentwrapper &gt; bo_right"/>
    <w:basedOn w:val="Normal"/>
    <w:pPr>
      <w:shd w:val="clear" w:color="auto" w:fill="FFFFFF"/>
    </w:pPr>
    <w:rPr>
      <w:shd w:val="clear" w:color="auto" w:fill="FFFFFF"/>
    </w:rPr>
  </w:style>
  <w:style w:type="paragraph" w:customStyle="1" w:styleId="bocontentwrapperborightborightborder">
    <w:name w:val="bo_contentwrapper_bo_right &gt; bo_right_border"/>
    <w:basedOn w:val="Normal"/>
  </w:style>
  <w:style w:type="paragraph" w:customStyle="1" w:styleId="bocontentwrapperborightborightcontent">
    <w:name w:val="bo_contentwrapper &gt; bo_right &gt; bo_right_content"/>
    <w:basedOn w:val="Normal"/>
  </w:style>
  <w:style w:type="paragraph" w:customStyle="1" w:styleId="divipgreeting">
    <w:name w:val="div_ipgreeting"/>
    <w:basedOn w:val="Normal"/>
    <w:pPr>
      <w:pBdr>
        <w:top w:val="none" w:sz="0" w:space="13" w:color="auto"/>
        <w:left w:val="none" w:sz="0" w:space="7" w:color="auto"/>
        <w:bottom w:val="none" w:sz="0" w:space="13" w:color="auto"/>
        <w:right w:val="none" w:sz="0" w:space="7" w:color="auto"/>
      </w:pBdr>
    </w:pPr>
  </w:style>
  <w:style w:type="paragraph" w:customStyle="1" w:styleId="divipgreetingdivloginheader">
    <w:name w:val="div_ipgreeting_div_loginheader"/>
    <w:basedOn w:val="Normal"/>
  </w:style>
  <w:style w:type="paragraph" w:customStyle="1" w:styleId="step-action-items">
    <w:name w:val="step-action-items"/>
    <w:basedOn w:val="Normal"/>
  </w:style>
  <w:style w:type="character" w:customStyle="1" w:styleId="step-action-itemsa">
    <w:name w:val="step-action-items &gt; a"/>
    <w:basedOn w:val="DefaultParagraphFont"/>
  </w:style>
  <w:style w:type="paragraph" w:customStyle="1" w:styleId="divipgreetingdivlogin-button-div">
    <w:name w:val="div_ipgreeting_div_login-button-div"/>
    <w:basedOn w:val="Normal"/>
    <w:pPr>
      <w:pBdr>
        <w:top w:val="none" w:sz="0" w:space="3" w:color="auto"/>
        <w:left w:val="none" w:sz="0" w:space="0" w:color="auto"/>
        <w:bottom w:val="none" w:sz="0" w:space="3" w:color="auto"/>
        <w:right w:val="none" w:sz="0" w:space="0" w:color="auto"/>
      </w:pBdr>
      <w:jc w:val="center"/>
    </w:pPr>
  </w:style>
  <w:style w:type="character" w:customStyle="1" w:styleId="divipgreetingdivlogin-button-divbutton">
    <w:name w:val="div_ipgreeting_div_login-button-div &gt; button"/>
    <w:basedOn w:val="DefaultParagraphFont"/>
  </w:style>
  <w:style w:type="paragraph" w:customStyle="1" w:styleId="borightmvcWidgetulli">
    <w:name w:val="bo_right_mvcWidget_ul_li"/>
    <w:basedOn w:val="Normal"/>
    <w:pPr>
      <w:pBdr>
        <w:top w:val="none" w:sz="0" w:space="3" w:color="auto"/>
        <w:left w:val="none" w:sz="0" w:space="0" w:color="auto"/>
        <w:bottom w:val="none" w:sz="0" w:space="3" w:color="auto"/>
        <w:right w:val="none" w:sz="0" w:space="0" w:color="auto"/>
      </w:pBdr>
    </w:pPr>
  </w:style>
  <w:style w:type="paragraph" w:customStyle="1" w:styleId="borightmvcWidgetullia">
    <w:name w:val="bo_righ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bocontentwrapperpnotaufz">
    <w:name w:val="div_bo_contentwrapper_p_not(.aufz)"/>
    <w:basedOn w:val="Normal"/>
  </w:style>
  <w:style w:type="paragraph" w:customStyle="1" w:styleId="borightmvcWidgetullinth-last-child1">
    <w:name w:val="bo_right_mvcWidget_ul_li_nth-last-child(1)"/>
    <w:basedOn w:val="Normal"/>
    <w:pPr>
      <w:pBdr>
        <w:bottom w:val="none" w:sz="0" w:space="9" w:color="auto"/>
      </w:pBdr>
    </w:pPr>
  </w:style>
  <w:style w:type="paragraph" w:customStyle="1" w:styleId="bottomleiste">
    <w:name w:val="bottomleiste"/>
    <w:basedOn w:val="Normal"/>
    <w:pPr>
      <w:pBdr>
        <w:top w:val="single" w:sz="18" w:space="0" w:color="E6E6E6"/>
      </w:pBdr>
      <w:textAlignment w:val="center"/>
    </w:pPr>
    <w:rPr>
      <w:vanish/>
      <w:color w:val="FFFFFF"/>
      <w:sz w:val="20"/>
      <w:szCs w:val="20"/>
    </w:rPr>
  </w:style>
  <w:style w:type="paragraph" w:customStyle="1" w:styleId="bottomleisteserviceleiste">
    <w:name w:val="bottomleiste &gt; serviceleiste"/>
    <w:basedOn w:val="Normal"/>
  </w:style>
  <w:style w:type="character" w:customStyle="1" w:styleId="bottomleistedivulli">
    <w:name w:val="bottomleiste &gt; div &gt; ul &gt; li"/>
    <w:basedOn w:val="DefaultParagraphFont"/>
  </w:style>
  <w:style w:type="character" w:customStyle="1" w:styleId="bottomleistedivullia">
    <w:name w:val="bottomleiste &gt; div &gt; ul &gt; li &gt; a"/>
    <w:basedOn w:val="DefaultParagraphFont"/>
  </w:style>
  <w:style w:type="paragraph" w:customStyle="1" w:styleId="bottomleistesettings">
    <w:name w:val="bottomleiste &gt; settings"/>
    <w:basedOn w:val="Normal"/>
  </w:style>
  <w:style w:type="paragraph" w:customStyle="1" w:styleId="bottomleistesocial">
    <w:name w:val="bottomleiste &gt; social"/>
    <w:basedOn w:val="Normal"/>
    <w:pPr>
      <w:jc w:val="right"/>
    </w:pPr>
  </w:style>
  <w:style w:type="paragraph" w:customStyle="1" w:styleId="bottomleistediv">
    <w:name w:val="bottomleiste &gt; div"/>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eck-online.beck.de/Werk/21553?opusTitle=BeckOK+HWG" TargetMode="External" /><Relationship Id="rId11" Type="http://schemas.openxmlformats.org/officeDocument/2006/relationships/hyperlink" Target="https://beck-online.beck.de/" TargetMode="External" /><Relationship Id="rId12" Type="http://schemas.openxmlformats.org/officeDocument/2006/relationships/hyperlink" Target="https://beck-online.beck.de/Werk/20777?opusTitle=Cyran%2fRotta" TargetMode="External" /><Relationship Id="rId13" Type="http://schemas.openxmlformats.org/officeDocument/2006/relationships/hyperlink" Target="https://beck-online.beck.de/" TargetMode="External" /><Relationship Id="rId14" Type="http://schemas.openxmlformats.org/officeDocument/2006/relationships/hyperlink" Target="https://beck-online.beck.de/Werk/15114?opusTitle=DienersCompliance" TargetMode="External" /><Relationship Id="rId15" Type="http://schemas.openxmlformats.org/officeDocument/2006/relationships/hyperlink" Target="https://beck-online.beck.de/" TargetMode="External" /><Relationship Id="rId16" Type="http://schemas.openxmlformats.org/officeDocument/2006/relationships/hyperlink" Target="https://beck-online.beck.de/Werk/1349?opusTitle=Dieners%2fReese" TargetMode="External" /><Relationship Id="rId17" Type="http://schemas.openxmlformats.org/officeDocument/2006/relationships/hyperlink" Target="https://beck-online.beck.de/" TargetMode="External" /><Relationship Id="rId18" Type="http://schemas.openxmlformats.org/officeDocument/2006/relationships/hyperlink" Target="https://beck-online.beck.de/Werk/17683?opusTitle=Eckstein" TargetMode="External" /><Relationship Id="rId19" Type="http://schemas.openxmlformats.org/officeDocument/2006/relationships/hyperlink" Target="https://beck-online.beck.de/" TargetMode="External" /><Relationship Id="rId2" Type="http://schemas.openxmlformats.org/officeDocument/2006/relationships/webSettings" Target="webSettings.xml" /><Relationship Id="rId20" Type="http://schemas.openxmlformats.org/officeDocument/2006/relationships/hyperlink" Target="https://beck-online.beck.de/Werk/13013?opusTitle=FuhrmannAMR" TargetMode="External" /><Relationship Id="rId21" Type="http://schemas.openxmlformats.org/officeDocument/2006/relationships/hyperlink" Target="https://beck-online.beck.de/" TargetMode="External" /><Relationship Id="rId22" Type="http://schemas.openxmlformats.org/officeDocument/2006/relationships/hyperlink" Target="https://beck-online.beck.de/Werk/21836?opusTitle=Gr%c3%b6ning%2fMand%2fReinhart%2c" TargetMode="External" /><Relationship Id="rId23" Type="http://schemas.openxmlformats.org/officeDocument/2006/relationships/hyperlink" Target="https://beck-online.beck.de/" TargetMode="External" /><Relationship Id="rId24" Type="http://schemas.openxmlformats.org/officeDocument/2006/relationships/hyperlink" Target="https://beck-online.beck.de/Werk/19956?opusTitle=Haedicke" TargetMode="External" /><Relationship Id="rId25" Type="http://schemas.openxmlformats.org/officeDocument/2006/relationships/hyperlink" Target="https://beck-online.beck.de/" TargetMode="External" /><Relationship Id="rId26" Type="http://schemas.openxmlformats.org/officeDocument/2006/relationships/hyperlink" Target="https://beck-online.beck.de/Werk/21855?opusTitle=H%c3%bcgel%2fJunge%2fWinkler" TargetMode="External" /><Relationship Id="rId27" Type="http://schemas.openxmlformats.org/officeDocument/2006/relationships/hyperlink" Target="https://beck-online.beck.de/" TargetMode="External" /><Relationship Id="rId28" Type="http://schemas.openxmlformats.org/officeDocument/2006/relationships/hyperlink" Target="https://beck-online.beck.de/Werk/9838?opusTitle=Kieser%2fWesser%2fSaalfrank" TargetMode="External" /><Relationship Id="rId29" Type="http://schemas.openxmlformats.org/officeDocument/2006/relationships/hyperlink" Target="https://beck-online.beck.de/" TargetMode="External" /><Relationship Id="rId3" Type="http://schemas.openxmlformats.org/officeDocument/2006/relationships/fontTable" Target="fontTable.xml" /><Relationship Id="rId30" Type="http://schemas.openxmlformats.org/officeDocument/2006/relationships/hyperlink" Target="https://beck-online.beck.de/Werk/20764?opusTitle=Kloesel%2fCyran" TargetMode="External" /><Relationship Id="rId31" Type="http://schemas.openxmlformats.org/officeDocument/2006/relationships/hyperlink" Target="https://beck-online.beck.de/" TargetMode="External" /><Relationship Id="rId32" Type="http://schemas.openxmlformats.org/officeDocument/2006/relationships/hyperlink" Target="https://beck-online.beck.de/Werk/14929?opusTitle=K%c3%bcgel" TargetMode="External" /><Relationship Id="rId33" Type="http://schemas.openxmlformats.org/officeDocument/2006/relationships/hyperlink" Target="https://beck-online.beck.de/" TargetMode="External" /><Relationship Id="rId34" Type="http://schemas.openxmlformats.org/officeDocument/2006/relationships/hyperlink" Target="https://beck-online.beck.de/Werk/19818?opusTitle=Lehner%2fNolte%2fPutzke" TargetMode="External" /><Relationship Id="rId35" Type="http://schemas.openxmlformats.org/officeDocument/2006/relationships/hyperlink" Target="https://beck-online.beck.de/" TargetMode="External" /><Relationship Id="rId36" Type="http://schemas.openxmlformats.org/officeDocument/2006/relationships/hyperlink" Target="https://beck-online.beck.de/Werk/21032?opusTitle=Schorn" TargetMode="External" /><Relationship Id="rId37" Type="http://schemas.openxmlformats.org/officeDocument/2006/relationships/hyperlink" Target="https://beck-online.beck.de/" TargetMode="External" /><Relationship Id="rId38" Type="http://schemas.openxmlformats.org/officeDocument/2006/relationships/hyperlink" Target="https://beck-online.beck.de/Werk/14625?opusTitle=Ludwigs" TargetMode="External" /><Relationship Id="rId39" Type="http://schemas.openxmlformats.org/officeDocument/2006/relationships/hyperlink" Target="https://beck-online.beck.de/" TargetMode="External" /><Relationship Id="rId4" Type="http://schemas.openxmlformats.org/officeDocument/2006/relationships/image" Target="media/image1.png" /><Relationship Id="rId40" Type="http://schemas.openxmlformats.org/officeDocument/2006/relationships/hyperlink" Target="https://beck-online.beck.de/Werk/16890?opusTitle=Meier%2fvon+Czettritz%2fGabriel%2fKaufmann" TargetMode="External" /><Relationship Id="rId41" Type="http://schemas.openxmlformats.org/officeDocument/2006/relationships/hyperlink" Target="https://beck-online.beck.de/" TargetMode="External" /><Relationship Id="rId42" Type="http://schemas.openxmlformats.org/officeDocument/2006/relationships/hyperlink" Target="https://beck-online.beck.de/Werk/14085?opusTitle=M%c3%bcKoStGB" TargetMode="External" /><Relationship Id="rId43" Type="http://schemas.openxmlformats.org/officeDocument/2006/relationships/hyperlink" Target="https://beck-online.beck.de/" TargetMode="External" /><Relationship Id="rId44" Type="http://schemas.openxmlformats.org/officeDocument/2006/relationships/hyperlink" Target="https://beck-online.beck.de/Werk/19695?opusTitle=Patzak%2fFabricius+BtMG" TargetMode="External" /><Relationship Id="rId45" Type="http://schemas.openxmlformats.org/officeDocument/2006/relationships/hyperlink" Target="https://beck-online.beck.de/" TargetMode="External" /><Relationship Id="rId46" Type="http://schemas.openxmlformats.org/officeDocument/2006/relationships/hyperlink" Target="https://beck-online.beck.de/Werk/12223?opusTitle=Rehmann" TargetMode="External" /><Relationship Id="rId47" Type="http://schemas.openxmlformats.org/officeDocument/2006/relationships/hyperlink" Target="https://beck-online.beck.de/" TargetMode="External" /><Relationship Id="rId48" Type="http://schemas.openxmlformats.org/officeDocument/2006/relationships/hyperlink" Target="https://beck-online.beck.de/Werk/17799?opusTitle=Rehmann" TargetMode="External" /><Relationship Id="rId49" Type="http://schemas.openxmlformats.org/officeDocument/2006/relationships/hyperlink" Target="https://beck-online.beck.de/" TargetMode="External" /><Relationship Id="rId5" Type="http://schemas.openxmlformats.org/officeDocument/2006/relationships/image" Target="media/image2.svg" /><Relationship Id="rId50" Type="http://schemas.openxmlformats.org/officeDocument/2006/relationships/hyperlink" Target="https://beck-online.beck.de/Werk/17065?opusTitle=Saliger%2fTsambikakis+MedStrafR-HdB" TargetMode="External" /><Relationship Id="rId51" Type="http://schemas.openxmlformats.org/officeDocument/2006/relationships/hyperlink" Target="https://beck-online.beck.de/" TargetMode="External" /><Relationship Id="rId52" Type="http://schemas.openxmlformats.org/officeDocument/2006/relationships/hyperlink" Target="https://beck-online.beck.de/Werk/17399?opusTitle=Spickhoff%2fHandorn" TargetMode="External" /><Relationship Id="rId53" Type="http://schemas.openxmlformats.org/officeDocument/2006/relationships/hyperlink" Target="https://beck-online.beck.de/" TargetMode="External" /><Relationship Id="rId54" Type="http://schemas.openxmlformats.org/officeDocument/2006/relationships/hyperlink" Target="https://beck-online.beck.de/Werk/21320?opusTitle=Weber%2fKornprobst%2fMaier%2fDietsch%2cBtMG" TargetMode="External" /><Relationship Id="rId55" Type="http://schemas.openxmlformats.org/officeDocument/2006/relationships/hyperlink" Target="https://beck-online.beck.de/" TargetMode="External" /><Relationship Id="rId56" Type="http://schemas.openxmlformats.org/officeDocument/2006/relationships/hyperlink" Target="https://beck-online.beck.de/Werk/13584?opusTitle=Stief%2fBromm" TargetMode="External" /><Relationship Id="rId57" Type="http://schemas.openxmlformats.org/officeDocument/2006/relationships/hyperlink" Target="https://beck-online.beck.de/" TargetMode="External" /><Relationship Id="rId58" Type="http://schemas.openxmlformats.org/officeDocument/2006/relationships/hyperlink" Target="https://beck-online.beck.de/Werk/3351?opusTitle=A%26R" TargetMode="External" /><Relationship Id="rId59" Type="http://schemas.openxmlformats.org/officeDocument/2006/relationships/hyperlink" Target="https://beck-online.beck.de/" TargetMode="External" /><Relationship Id="rId6" Type="http://schemas.openxmlformats.org/officeDocument/2006/relationships/hyperlink" Target="https://beck-online.beck.de/Werk/7731?opusTitle=Anhalt%2fDieners" TargetMode="External" /><Relationship Id="rId60" Type="http://schemas.openxmlformats.org/officeDocument/2006/relationships/hyperlink" Target="https://beck-online.beck.de/Werk/1351?opusTitle=PharmR" TargetMode="External" /><Relationship Id="rId61" Type="http://schemas.openxmlformats.org/officeDocument/2006/relationships/hyperlink" Target="https://beck-online.beck.de/" TargetMode="External" /><Relationship Id="rId62" Type="http://schemas.openxmlformats.org/officeDocument/2006/relationships/hyperlink" Target="https://beck-online.beck.de/Werk/17353?opusTitle=MPJ" TargetMode="External" /><Relationship Id="rId63" Type="http://schemas.openxmlformats.org/officeDocument/2006/relationships/hyperlink" Target="https://beck-online.beck.de/" TargetMode="External" /><Relationship Id="rId64" Type="http://schemas.openxmlformats.org/officeDocument/2006/relationships/hyperlink" Target="https://beck-online.beck.de/Werk/7333?opusTitle=FD-MedizinR" TargetMode="External" /><Relationship Id="rId65" Type="http://schemas.openxmlformats.org/officeDocument/2006/relationships/hyperlink" Target="https://beck-online.beck.de/" TargetMode="External" /><Relationship Id="rId66" Type="http://schemas.openxmlformats.org/officeDocument/2006/relationships/hyperlink" Target="https://beck-online.beck.de/?typ=searchlink&amp;hitlisthead=Rechtsprechung zum Pharmarecht auch aus NJW, NVwZ, GRUR, NStZ und BeckRS, etc.&amp;query=spubtyp0:ent+AND+(domain:NJW+OR+domain:NVwZ+OR+domain:GRUR+OR+domain:NStZ+domain:BeckRS)&amp;rbsort=date" TargetMode="External" /><Relationship Id="rId67" Type="http://schemas.openxmlformats.org/officeDocument/2006/relationships/hyperlink" Target="https://beck-online.beck.de/" TargetMode="External" /><Relationship Id="rId68" Type="http://schemas.openxmlformats.org/officeDocument/2006/relationships/hyperlink" Target="https://beck-online.beck.de/Sammlungen/175298?cat=coll&amp;xml=gesetze%2Ffach&amp;coll=Normen%20zum%20Pharmarecht" TargetMode="External" /><Relationship Id="rId69" Type="http://schemas.openxmlformats.org/officeDocument/2006/relationships/hyperlink" Target="https://beck-online.beck.de/" TargetMode="External" /><Relationship Id="rId7" Type="http://schemas.openxmlformats.org/officeDocument/2006/relationships/hyperlink" Target="https://beck-online.beck.de/" TargetMode="External" /><Relationship Id="rId70" Type="http://schemas.openxmlformats.org/officeDocument/2006/relationships/hyperlink" Target="https://beck-online.beck.de/Sammlungen/175299?cat=coll&amp;xml=gesetze%2Fbund&amp;coll=Wichtigste%20Normen%20%28rechtsgebiets%C3%BCbergreifend%29&amp;opusTitle=WN" TargetMode="External" /><Relationship Id="rId71" Type="http://schemas.openxmlformats.org/officeDocument/2006/relationships/hyperlink" Target="https://beck-online.beck.de/" TargetMode="External" /><Relationship Id="rId72" Type="http://schemas.openxmlformats.org/officeDocument/2006/relationships/hyperlink" Target="https://beck-online.beck.de/Modul/77049/Medizin--und-Gesundheitsrecht-PREMIUM" TargetMode="External" /><Relationship Id="rId73" Type="http://schemas.openxmlformats.org/officeDocument/2006/relationships/hyperlink" Target="http://beck-online.beck.de/?modart=142&amp;modid=484" TargetMode="External" /><Relationship Id="rId74" Type="http://schemas.openxmlformats.org/officeDocument/2006/relationships/hyperlink" Target="http://beck-online.beck.de/?modid=409" TargetMode="External" /><Relationship Id="rId75" Type="http://schemas.openxmlformats.org/officeDocument/2006/relationships/header" Target="header1.xml" /><Relationship Id="rId76" Type="http://schemas.openxmlformats.org/officeDocument/2006/relationships/footer" Target="footer1.xml" /><Relationship Id="rId77" Type="http://schemas.openxmlformats.org/officeDocument/2006/relationships/theme" Target="theme/theme1.xml" /><Relationship Id="rId78" Type="http://schemas.openxmlformats.org/officeDocument/2006/relationships/numbering" Target="numbering.xml" /><Relationship Id="rId79" Type="http://schemas.openxmlformats.org/officeDocument/2006/relationships/styles" Target="styles.xml" /><Relationship Id="rId8" Type="http://schemas.openxmlformats.org/officeDocument/2006/relationships/hyperlink" Target="https://beck-online.beck.de/Werk/20783?opusTitle=Becker" TargetMode="External" /><Relationship Id="rId9" Type="http://schemas.openxmlformats.org/officeDocument/2006/relationships/hyperlink" Target="https://beck-online.beck.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Pharmarecht PREMIUM - beck-online</dc:title>
  <dc:creator>beck-online.beck.de</dc:creator>
  <cp:revision>0</cp:revision>
</cp:coreProperties>
</file>