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Datenwirtschaftsrecht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Übergreifende Werke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orges/Keil, Big Data" w:history="1">
        <w:bookmarkStart w:id="0" w:name="opus_1939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Borges/​Keil, Rechtshandbuch Big Data</w:t>
        </w:r>
      </w:hyperlink>
      <w:bookmarkEnd w:id="0"/>
      <w:hyperlink r:id="rId7" w:anchor="opus_detail_1939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eminn/Johannes" w:history="1">
        <w:bookmarkStart w:id="1" w:name="opus_2183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Geminn/​Johannes, Europäisches Datenrecht</w:t>
        </w:r>
      </w:hyperlink>
      <w:bookmarkEnd w:id="1"/>
      <w:hyperlink r:id="rId9" w:anchor="opus_detail_2183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ast/Kettemann/Dreyer/Schulz, DSA DMA" w:history="1">
        <w:bookmarkStart w:id="2" w:name="opus_193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Mast/​Kettemann/​Dreyer/​Schulz, Digital Services Act / Digital Markets Act (DSA / DMA)</w:t>
        </w:r>
      </w:hyperlink>
      <w:bookmarkEnd w:id="2"/>
      <w:hyperlink r:id="rId11" w:anchor="opus_detail_193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Schulze/Staudenmayer" w:history="1">
        <w:bookmarkStart w:id="3" w:name="opus_222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Schulze/​Staudenmayer, EU Digital Law</w:t>
        </w:r>
      </w:hyperlink>
      <w:bookmarkEnd w:id="3"/>
      <w:hyperlink r:id="rId13" w:anchor="opus_detail_222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teinrötter" w:history="1">
        <w:bookmarkStart w:id="4" w:name="opus_193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Steinrötter, Europäische Plattformregulierung</w:t>
        </w:r>
      </w:hyperlink>
      <w:bookmarkEnd w:id="4"/>
      <w:hyperlink r:id="rId15" w:anchor="opus_detail_19398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Digitale Dienste (DSA mit DDG)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NK-DSA" w:history="1">
        <w:bookmarkStart w:id="5" w:name="opus_1939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Hofmann/​Raue, Digital Services Act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"/>
      <w:hyperlink r:id="rId17" w:anchor="opus_detail_1939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Müller-Terpitz/Köhler, DSA" w:history="1">
        <w:bookmarkStart w:id="6" w:name="opus_1939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Müller-Terpitz/​Köhler, DSA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1939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eldt/Legner" w:history="1">
        <w:bookmarkStart w:id="7" w:name="opus_203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Heldt/​Legner, Digitale-Dienste-Gesetz: DDG</w:t>
        </w:r>
      </w:hyperlink>
      <w:bookmarkEnd w:id="7"/>
      <w:hyperlink r:id="rId21" w:anchor="opus_detail_203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raul, DSA" w:history="1">
        <w:bookmarkStart w:id="8" w:name="opus_193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Kraul, Das neue Recht der digitalen Dienste</w:t>
        </w:r>
      </w:hyperlink>
      <w:bookmarkEnd w:id="8"/>
      <w:hyperlink r:id="rId23" w:anchor="opus_detail_19397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Digitale Märkte (DMA)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Podszun DMA" w:history="1">
        <w:bookmarkStart w:id="9" w:name="opus_193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Podszun, Digital Markets Act: DMA</w:t>
        </w:r>
      </w:hyperlink>
      <w:bookmarkEnd w:id="9"/>
      <w:hyperlink r:id="rId25" w:anchor="opus_detail_193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midt/Hübener" w:history="1">
        <w:bookmarkStart w:id="10" w:name="opus_193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Schmidt/​Hübener, Das neue Recht der digitalen Märkte</w:t>
        </w:r>
      </w:hyperlink>
      <w:bookmarkEnd w:id="10"/>
      <w:hyperlink r:id="rId27" w:anchor="opus_detail_19398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Datenaustausch und Datennutzung </w:t>
      </w:r>
    </w:p>
    <w:p>
      <w:pPr>
        <w:pStyle w:val="divbocontentwrapperbocenterdivbokastenrahmen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Bomhard/​Schmidt-Kessel, EU Data Act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28" w:anchor="opus_detail_1980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Buchheim" w:history="1">
        <w:bookmarkStart w:id="11" w:name="opus_2227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Buchheim/​Möslein/​Omlor, Datentreuhand und 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1"/>
      <w:hyperlink r:id="rId30" w:anchor="opus_detail_2227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Paschke" w:history="1">
        <w:bookmarkStart w:id="12" w:name="opus_193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Paschke/​Rücker, Data Governance Act: DGA</w:t>
        </w:r>
      </w:hyperlink>
      <w:bookmarkEnd w:id="12"/>
      <w:hyperlink r:id="rId32" w:anchor="opus_detail_1939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SpeHenKoDGA" w:history="1">
        <w:bookmarkStart w:id="13" w:name="opus_208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Specht/​Hennemann, Data Act/​Data Governance Act</w:t>
        </w:r>
      </w:hyperlink>
      <w:bookmarkEnd w:id="13"/>
      <w:hyperlink r:id="rId34" w:anchor="opus_detail_2087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Schreiber/Pommerening/Schoel" w:history="1">
        <w:bookmarkStart w:id="14" w:name="opus_2048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Schreiber/​Pommerening/​Schoel, Der neue Data Act (DA)</w:t>
        </w:r>
      </w:hyperlink>
      <w:bookmarkEnd w:id="14"/>
      <w:hyperlink r:id="rId36" w:anchor="opus_detail_2048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Richter, DNG" w:history="1">
        <w:bookmarkStart w:id="15" w:name="opus_193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Richter, Datennutzungsgesetz</w:t>
        </w:r>
      </w:hyperlink>
      <w:bookmarkEnd w:id="15"/>
      <w:hyperlink r:id="rId38" w:anchor="opus_detail_19399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Schutz personenbezogener Daten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BeckOK DatenSR" w:history="1">
        <w:bookmarkStart w:id="16" w:name="opus_217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Datenschutzrecht, Wolff/​Brink/​v. Ungern-Sternberg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6"/>
      <w:hyperlink r:id="rId40" w:anchor="opus_detail_21721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MMR" w:history="1">
        <w:bookmarkStart w:id="17" w:name="opus_2114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</w:hyperlink>
      <w:bookmarkEnd w:id="17"/>
      <w:hyperlink r:id="rId42" w:anchor="opus_detail_2114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MMR-Beil." w:history="1">
        <w:bookmarkStart w:id="18" w:name="opus_2114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18"/>
      <w:hyperlink r:id="rId44" w:anchor="opus_detail_2114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Aufsätze (Detailsuche)" w:history="1">
        <w:bookmarkStart w:id="19" w:name="opus_198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Datenwirtschaftsrecht aus diversen Zeitschriften</w:t>
        </w:r>
      </w:hyperlink>
      <w:bookmarkEnd w:id="19"/>
      <w:hyperlink r:id="rId46" w:anchor="opus_detail_198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Rechtsprechung (Detailsuche)" w:history="1">
        <w:bookmarkStart w:id="20" w:name="opus_198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Datenwirtschaftsrecht aus BeckRS und diversen Zeitschriften</w:t>
        </w:r>
      </w:hyperlink>
      <w:bookmarkEnd w:id="20"/>
      <w:hyperlink r:id="rId48" w:anchor="opus_detail_1980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Multimediarecht Texte" w:history="1">
        <w:bookmarkStart w:id="21" w:name="opus_193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21"/>
      <w:hyperlink r:id="rId50" w:anchor="opus_detail_1933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WN" w:history="1">
        <w:bookmarkStart w:id="22" w:name="opus_1933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2"/>
      <w:hyperlink r:id="rId52" w:anchor="opus_detail_1933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Fachmodule könnten Sie auch interessieren:</w:t>
      </w:r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53" w:history="1">
        <w:r>
          <w:rPr>
            <w:rStyle w:val="bocontentwrapperbocenteranotbeck-btn"/>
            <w:u w:val="single" w:color="C8000A"/>
            <w:lang w:val="de" w:eastAsia="de"/>
          </w:rPr>
          <w:t>KI-Recht PLUS</w:t>
        </w:r>
      </w:hyperlink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54" w:history="1">
        <w:r>
          <w:rPr>
            <w:rStyle w:val="bocontentwrapperbocenteranotbeck-btn"/>
            <w:u w:val="single" w:color="C8000A"/>
            <w:lang w:val="de" w:eastAsia="de"/>
          </w:rPr>
          <w:t>IT-Recht PLUS</w:t>
        </w:r>
      </w:hyperlink>
      <w:r>
        <w:rPr>
          <w:rStyle w:val="main"/>
          <w:lang w:val="de" w:eastAsia="de"/>
        </w:rPr>
        <w:t xml:space="preserve"> | </w:t>
      </w:r>
      <w:hyperlink r:id="rId55" w:history="1">
        <w:r>
          <w:rPr>
            <w:rStyle w:val="bocontentwrapperbocenteranotbeck-btn"/>
            <w:u w:val="single" w:color="C8000A"/>
            <w:lang w:val="de" w:eastAsia="de"/>
          </w:rPr>
          <w:t>PREMIUM</w:t>
        </w:r>
      </w:hyperlink>
    </w:p>
    <w:sectPr>
      <w:headerReference w:type="default" r:id="rId56"/>
      <w:footerReference w:type="default" r:id="rId5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01/16/2026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16.01.2026 09:40 -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centerdivboopusspanopusinvorbereitung">
    <w:name w:val="bo_center_div_bo_opus_span_opus_in_vorbereitung"/>
    <w:basedOn w:val="DefaultParagraphFont"/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9777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644?opusTitle=Schulze%2fStaudenmay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8284?opusTitle=Steinr%c3%b6tt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910?opusTitle=NK-DSA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9779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682?opusTitle=Heldt%2fLegn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484?opusTitle=Kraul%2c+DSA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718?opusTitle=Podszun+DMA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391?opusTitle=Schmidt%2fH%c3%bcben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22617?opusTitle=Buchheim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9780?opusTitle=Paschke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21286?opusTitle=SpeHenKoDGA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0942?opusTitle=Schreiber%2fPommerening%2fSchoel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9781?opusTitle=Richter%2c+DNG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22131?opusTitle=BeckOK+DatenS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7?opusTitle=MMR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906?opusTitle=MMR-Beil.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?typ=searchlink&amp;hitlisthead=Aufs&#228;tze%20zum%20Datenwirtschaftsrecht%20aus%20diversen%20Zeitschriften&amp;query=spubtyp0:%22aufs%22+AND+preismodul:BODWRP&amp;rbsort=date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?typ=searchlink&amp;hitlisthead=Rechtsprechung%20zum%20Datenwirtschaftsrecht%20aus%20BeckRS%20und%20diversen%20Zeitschriften&amp;query=spubtyp0:%22ent%22+AND+preismodul:BODWRP&amp;rbsort=date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Sammlungen/193351?cat=coll&amp;xml=gesetze%2Ftmmr&amp;coll=Multimediarecht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Sammlungen/193352?cat=coll&amp;xml=gesetze%2Fbund&amp;coll=Wichtigste%20Normen%20%28rechtsgebiets%C3%BCbergreifend%29&amp;opusTitle=WN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Modul/201043/Inhalt/1379" TargetMode="External" /><Relationship Id="rId54" Type="http://schemas.openxmlformats.org/officeDocument/2006/relationships/hyperlink" Target="https://beck-online.beck.de/Modul/29140/" TargetMode="External" /><Relationship Id="rId55" Type="http://schemas.openxmlformats.org/officeDocument/2006/relationships/hyperlink" Target="https://beck-online.beck.de/Modul/87329" TargetMode="External" /><Relationship Id="rId56" Type="http://schemas.openxmlformats.org/officeDocument/2006/relationships/header" Target="header1.xml" /><Relationship Id="rId57" Type="http://schemas.openxmlformats.org/officeDocument/2006/relationships/footer" Target="footer1.xml" /><Relationship Id="rId58" Type="http://schemas.openxmlformats.org/officeDocument/2006/relationships/theme" Target="theme/theme1.xml" /><Relationship Id="rId59" Type="http://schemas.openxmlformats.org/officeDocument/2006/relationships/numbering" Target="numbering.xml" /><Relationship Id="rId6" Type="http://schemas.openxmlformats.org/officeDocument/2006/relationships/hyperlink" Target="https://beck-online.beck.de/Werk/18611?opusTitle=Borges%2fKeil%2c+Big+Data" TargetMode="External" /><Relationship Id="rId60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259?opusTitle=Geminn%2fJohannes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Datenwirtschaftsrecht PLUS - beck-online</dc:title>
  <dc:creator>beck-online.beck.de</dc:creator>
  <cp:revision>0</cp:revision>
</cp:coreProperties>
</file>