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</w:p>
    <w:p>
      <w:pPr>
        <w:pStyle w:val="bocenterbomodulselectedh1modulTit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240"/>
        <w:ind w:left="0" w:right="150"/>
        <w:rPr>
          <w:rStyle w:val="visible-print"/>
          <w:b/>
          <w:bCs/>
          <w:color w:val="000000"/>
          <w:sz w:val="32"/>
          <w:szCs w:val="32"/>
          <w:lang w:val="de" w:eastAsia="de"/>
        </w:rPr>
      </w:pPr>
      <w:r>
        <w:rPr>
          <w:rStyle w:val="visible-print"/>
          <w:b/>
          <w:bCs/>
          <w:sz w:val="32"/>
          <w:szCs w:val="32"/>
          <w:lang w:val="de" w:eastAsia="de"/>
        </w:rPr>
        <w:t xml:space="preserve">Modulvergleich der Module 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240"/>
        <w:ind w:left="0" w:right="150"/>
        <w:rPr>
          <w:rStyle w:val="anyCharacter"/>
          <w:b/>
          <w:bCs/>
          <w:color w:val="C8000A"/>
          <w:sz w:val="27"/>
          <w:szCs w:val="27"/>
          <w:lang w:val="de" w:eastAsia="de"/>
        </w:rPr>
      </w:pPr>
      <w:r>
        <w:rPr>
          <w:rStyle w:val="anyCharacter"/>
          <w:b/>
          <w:bCs/>
          <w:color w:val="C8000A"/>
          <w:sz w:val="27"/>
          <w:szCs w:val="27"/>
          <w:lang w:val="de" w:eastAsia="de"/>
        </w:rPr>
        <w:t xml:space="preserve">Vergaberecht PLUS / Vergaberecht PREMIUM </w:t>
      </w:r>
    </w:p>
    <w:tbl>
      <w:tblPr>
        <w:tblStyle w:val="bocentermodulcompareTable"/>
        <w:tblW w:w="5000" w:type="pct"/>
        <w:tblInd w:w="15" w:type="dxa"/>
        <w:tblBorders>
          <w:top w:val="dotted" w:sz="6" w:space="0" w:color="DADADA"/>
          <w:left w:val="dotted" w:sz="6" w:space="0" w:color="DADADA"/>
          <w:bottom w:val="dotted" w:sz="6" w:space="0" w:color="DADADA"/>
          <w:right w:val="dotted" w:sz="6" w:space="0" w:color="DADADA"/>
        </w:tblBorders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4541"/>
        <w:gridCol w:w="2172"/>
        <w:gridCol w:w="2369"/>
      </w:tblGrid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82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r>
              <w:rPr>
                <w:rStyle w:val="divmodultd"/>
                <w:b/>
                <w:bCs/>
                <w:lang w:val="de" w:eastAsia="de"/>
              </w:rPr>
              <w:t>Kommentare/Handbücher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75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jc w:val="center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hyperlink r:id="rId6" w:history="1">
              <w:r>
                <w:rPr>
                  <w:rStyle w:val="bocontentwrapperbocenteranotbeck-btn"/>
                  <w:b/>
                  <w:bCs/>
                  <w:u w:val="single" w:color="C8000A"/>
                  <w:bdr w:val="none" w:sz="0" w:space="0" w:color="auto"/>
                  <w:lang w:val="de" w:eastAsia="de"/>
                </w:rPr>
                <w:t>Vergaberecht PLUS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75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jc w:val="center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hyperlink r:id="rId7" w:history="1">
              <w:r>
                <w:rPr>
                  <w:rStyle w:val="bocontentwrapperbocenteranotbeck-btn"/>
                  <w:b/>
                  <w:bCs/>
                  <w:u w:val="single" w:color="C8000A"/>
                  <w:bdr w:val="none" w:sz="0" w:space="0" w:color="auto"/>
                  <w:lang w:val="de" w:eastAsia="de"/>
                </w:rPr>
                <w:t>Vergaberecht PREMIUM</w:t>
              </w:r>
            </w:hyperlink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8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Althaus/Bartsch/Kattenbusch, Nachträge im Bauvertragsrecht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9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BeckOK Vergaberecht, Gabriel/Mertens/Stein/Wolf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10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Beck'scher Vergaberechtskommentar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11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Beck'scher Vergaberechtskommentar, Bd. 1: GWB, 4. Teil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12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Beck'scher Vergaberechtskommentar, Bd. 2: VgV - SektVO - KonzVgV - VSVgV - VOB/A-EU - VOB/A-VS - SaubFahrzeugBeschG - WRegV - VergStatVO - PreisV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13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Bolz/Jurgeleit, VOB/B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14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Burgi, Vergaberecht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15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Dieckmann/Scharf/Wagner-Cardenal, VgV, UVgO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16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Ebisch/Gottschalk/Hoffjan/Müller, Preise und Preisprüfungen bei öffentlichen Aufträgen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17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Egger, Europäisches Vergaberecht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18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Eschenbruch/Opitz/Röwekamp, SektVO, Sektorenverordnung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19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Gabriel/Krohn/Neun, Handbuch Vergaberecht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20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Hertwig, Praxis des Vergaberechts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21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Kapellmann/Messerschmidt, VOB A/B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22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Lausen/Müller, Handbuch Nachhaltigkeit im Vergaberecht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23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Leinemann/Kirch, VSVgV, Vergabeverordnung Verteidigung und Sicherheit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24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Leinemann/Otting/Kirch/Homann, VgV/UVgO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25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Linke, VO (EG) 1370/2007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26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Münchener Kommentar zum Wettbewerbsrecht, Bd. 3: Vergaberecht I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27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Münchener Kommentar zum Wettbewerbsrecht, Bd. 4: Vergaberecht II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28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Osseforth, Handbuch IT-Vergabe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29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Pünder/Schellenberg, Vergaberecht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30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Steinicke/Vesterdorf, Brussels Commentary on EU Public Procurement Law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31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Terwiesche/Becker/Prechtel, Tariftreue- und Vergabegesetz der Länder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32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Voppel/Osenbrück/Bubert, Vergabeverordnung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33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Ziekow/Völlink, Vergaberecht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</w:tbl>
    <w:p>
      <w:pPr>
        <w:pStyle w:val="bocentermodulcomparespa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ind w:left="0" w:right="150"/>
        <w:rPr>
          <w:rStyle w:val="main"/>
          <w:sz w:val="23"/>
          <w:lang w:val="de" w:eastAsia="de"/>
        </w:rPr>
      </w:pPr>
    </w:p>
    <w:tbl>
      <w:tblPr>
        <w:tblStyle w:val="bocentermodulcompareTable"/>
        <w:tblW w:w="5000" w:type="pct"/>
        <w:tblInd w:w="15" w:type="dxa"/>
        <w:tblBorders>
          <w:top w:val="dotted" w:sz="6" w:space="0" w:color="DADADA"/>
          <w:left w:val="dotted" w:sz="6" w:space="0" w:color="DADADA"/>
          <w:bottom w:val="dotted" w:sz="6" w:space="0" w:color="DADADA"/>
          <w:right w:val="dotted" w:sz="6" w:space="0" w:color="DADADA"/>
        </w:tblBorders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4541"/>
        <w:gridCol w:w="2172"/>
        <w:gridCol w:w="2369"/>
      </w:tblGrid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82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r>
              <w:rPr>
                <w:rStyle w:val="divmodultd"/>
                <w:b/>
                <w:bCs/>
                <w:lang w:val="de" w:eastAsia="de"/>
              </w:rPr>
              <w:t>Gesetze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75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jc w:val="center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hyperlink r:id="rId34" w:history="1">
              <w:r>
                <w:rPr>
                  <w:rStyle w:val="bocontentwrapperbocenteranotbeck-btn"/>
                  <w:b/>
                  <w:bCs/>
                  <w:u w:val="single" w:color="C8000A"/>
                  <w:bdr w:val="none" w:sz="0" w:space="0" w:color="auto"/>
                  <w:lang w:val="de" w:eastAsia="de"/>
                </w:rPr>
                <w:t>Vergaberecht PLUS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75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jc w:val="center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hyperlink r:id="rId35" w:history="1">
              <w:r>
                <w:rPr>
                  <w:rStyle w:val="bocontentwrapperbocenteranotbeck-btn"/>
                  <w:b/>
                  <w:bCs/>
                  <w:u w:val="single" w:color="C8000A"/>
                  <w:bdr w:val="none" w:sz="0" w:space="0" w:color="auto"/>
                  <w:lang w:val="de" w:eastAsia="de"/>
                </w:rPr>
                <w:t>Vergaberecht PREMIUM</w:t>
              </w:r>
            </w:hyperlink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36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Normen zum Bau- und Vergaberecht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37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Wichtigste Normen (rechtsgebietsübergreifend)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</w:tbl>
    <w:p>
      <w:pPr>
        <w:pStyle w:val="bocentermodulcomparespa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ind w:left="0" w:right="150"/>
        <w:rPr>
          <w:rStyle w:val="main"/>
          <w:sz w:val="23"/>
          <w:lang w:val="de" w:eastAsia="de"/>
        </w:rPr>
      </w:pPr>
    </w:p>
    <w:tbl>
      <w:tblPr>
        <w:tblStyle w:val="bocentermodulcompareTable"/>
        <w:tblW w:w="5000" w:type="pct"/>
        <w:tblInd w:w="15" w:type="dxa"/>
        <w:tblBorders>
          <w:top w:val="dotted" w:sz="6" w:space="0" w:color="DADADA"/>
          <w:left w:val="dotted" w:sz="6" w:space="0" w:color="DADADA"/>
          <w:bottom w:val="dotted" w:sz="6" w:space="0" w:color="DADADA"/>
          <w:right w:val="dotted" w:sz="6" w:space="0" w:color="DADADA"/>
        </w:tblBorders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4541"/>
        <w:gridCol w:w="2172"/>
        <w:gridCol w:w="2369"/>
      </w:tblGrid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82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r>
              <w:rPr>
                <w:rStyle w:val="divmodultd"/>
                <w:b/>
                <w:bCs/>
                <w:lang w:val="de" w:eastAsia="de"/>
              </w:rPr>
              <w:t>Zeitschriften mit Archiv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75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jc w:val="center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hyperlink r:id="rId38" w:history="1">
              <w:r>
                <w:rPr>
                  <w:rStyle w:val="bocontentwrapperbocenteranotbeck-btn"/>
                  <w:b/>
                  <w:bCs/>
                  <w:u w:val="single" w:color="C8000A"/>
                  <w:bdr w:val="none" w:sz="0" w:space="0" w:color="auto"/>
                  <w:lang w:val="de" w:eastAsia="de"/>
                </w:rPr>
                <w:t>Vergaberecht PLUS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75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jc w:val="center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hyperlink r:id="rId39" w:history="1">
              <w:r>
                <w:rPr>
                  <w:rStyle w:val="bocontentwrapperbocenteranotbeck-btn"/>
                  <w:b/>
                  <w:bCs/>
                  <w:u w:val="single" w:color="C8000A"/>
                  <w:bdr w:val="none" w:sz="0" w:space="0" w:color="auto"/>
                  <w:lang w:val="de" w:eastAsia="de"/>
                </w:rPr>
                <w:t>Vergaberecht PREMIUM</w:t>
              </w:r>
            </w:hyperlink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40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RInPrax - Rechtspraxis der Industrie- und Infrastrukturprojekte, ab 2025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41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VPR – Zeitschrift für Vergabepraxis &amp; -recht, ab 2013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</w:tbl>
    <w:p>
      <w:pPr>
        <w:pStyle w:val="bocentermodulcomparespa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ind w:left="0" w:right="150"/>
        <w:rPr>
          <w:rStyle w:val="main"/>
          <w:sz w:val="23"/>
          <w:lang w:val="de" w:eastAsia="de"/>
        </w:rPr>
      </w:pPr>
    </w:p>
    <w:tbl>
      <w:tblPr>
        <w:tblStyle w:val="bocentermodulcompareTable"/>
        <w:tblW w:w="5000" w:type="pct"/>
        <w:tblInd w:w="15" w:type="dxa"/>
        <w:tblBorders>
          <w:top w:val="dotted" w:sz="6" w:space="0" w:color="DADADA"/>
          <w:left w:val="dotted" w:sz="6" w:space="0" w:color="DADADA"/>
          <w:bottom w:val="dotted" w:sz="6" w:space="0" w:color="DADADA"/>
          <w:right w:val="dotted" w:sz="6" w:space="0" w:color="DADADA"/>
        </w:tblBorders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4541"/>
        <w:gridCol w:w="2172"/>
        <w:gridCol w:w="2369"/>
      </w:tblGrid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82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r>
              <w:rPr>
                <w:rStyle w:val="divmodultd"/>
                <w:b/>
                <w:bCs/>
                <w:lang w:val="de" w:eastAsia="de"/>
              </w:rPr>
              <w:t>Formulare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75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jc w:val="center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hyperlink r:id="rId42" w:history="1">
              <w:r>
                <w:rPr>
                  <w:rStyle w:val="bocontentwrapperbocenteranotbeck-btn"/>
                  <w:b/>
                  <w:bCs/>
                  <w:u w:val="single" w:color="C8000A"/>
                  <w:bdr w:val="none" w:sz="0" w:space="0" w:color="auto"/>
                  <w:lang w:val="de" w:eastAsia="de"/>
                </w:rPr>
                <w:t>Vergaberecht PLUS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75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jc w:val="center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hyperlink r:id="rId43" w:history="1">
              <w:r>
                <w:rPr>
                  <w:rStyle w:val="bocontentwrapperbocenteranotbeck-btn"/>
                  <w:b/>
                  <w:bCs/>
                  <w:u w:val="single" w:color="C8000A"/>
                  <w:bdr w:val="none" w:sz="0" w:space="0" w:color="auto"/>
                  <w:lang w:val="de" w:eastAsia="de"/>
                </w:rPr>
                <w:t>Vergaberecht PREMIUM</w:t>
              </w:r>
            </w:hyperlink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44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Beck’sches Formularbuch Vergaberecht, Hausmann/Friton/Röwekamp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45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BeckOF Prozess | Vergaberecht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46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BeckOF Vertrag | Baurecht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</w:tbl>
    <w:p>
      <w:pPr>
        <w:pStyle w:val="bocentermodulcomparespa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ind w:left="0" w:right="150"/>
        <w:rPr>
          <w:rStyle w:val="main"/>
          <w:sz w:val="23"/>
          <w:lang w:val="de" w:eastAsia="de"/>
        </w:rPr>
      </w:pPr>
    </w:p>
    <w:tbl>
      <w:tblPr>
        <w:tblStyle w:val="bocentermodulcompareTable"/>
        <w:tblW w:w="5000" w:type="pct"/>
        <w:tblInd w:w="15" w:type="dxa"/>
        <w:tblBorders>
          <w:top w:val="dotted" w:sz="6" w:space="0" w:color="DADADA"/>
          <w:left w:val="dotted" w:sz="6" w:space="0" w:color="DADADA"/>
          <w:bottom w:val="dotted" w:sz="6" w:space="0" w:color="DADADA"/>
          <w:right w:val="dotted" w:sz="6" w:space="0" w:color="DADADA"/>
        </w:tblBorders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4541"/>
        <w:gridCol w:w="2172"/>
        <w:gridCol w:w="2369"/>
      </w:tblGrid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82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r>
              <w:rPr>
                <w:rStyle w:val="divmodultd"/>
                <w:b/>
                <w:bCs/>
                <w:lang w:val="de" w:eastAsia="de"/>
              </w:rPr>
              <w:t>Fachnews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75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jc w:val="center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hyperlink r:id="rId47" w:history="1">
              <w:r>
                <w:rPr>
                  <w:rStyle w:val="bocontentwrapperbocenteranotbeck-btn"/>
                  <w:b/>
                  <w:bCs/>
                  <w:u w:val="single" w:color="C8000A"/>
                  <w:bdr w:val="none" w:sz="0" w:space="0" w:color="auto"/>
                  <w:lang w:val="de" w:eastAsia="de"/>
                </w:rPr>
                <w:t>Vergaberecht PLUS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75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jc w:val="center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hyperlink r:id="rId48" w:history="1">
              <w:r>
                <w:rPr>
                  <w:rStyle w:val="bocontentwrapperbocenteranotbeck-btn"/>
                  <w:b/>
                  <w:bCs/>
                  <w:u w:val="single" w:color="C8000A"/>
                  <w:bdr w:val="none" w:sz="0" w:space="0" w:color="auto"/>
                  <w:lang w:val="de" w:eastAsia="de"/>
                </w:rPr>
                <w:t>Vergaberecht PREMIUM</w:t>
              </w:r>
            </w:hyperlink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49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Fach-News Vergaberecht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</w:tbl>
    <w:p>
      <w:pPr>
        <w:pStyle w:val="bocentermodulcomparespa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ind w:left="0" w:right="150"/>
        <w:rPr>
          <w:rStyle w:val="main"/>
          <w:sz w:val="23"/>
          <w:lang w:val="de" w:eastAsia="de"/>
        </w:rPr>
      </w:pPr>
    </w:p>
    <w:p>
      <w:pPr>
        <w:pStyle w:val="bocentermodulcomparespa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ind w:left="0" w:right="150"/>
        <w:rPr>
          <w:rStyle w:val="main"/>
          <w:sz w:val="23"/>
          <w:lang w:val="de" w:eastAsia="de"/>
        </w:rPr>
      </w:pPr>
      <w:r>
        <w:rPr>
          <w:rStyle w:val="main"/>
          <w:lang w:val="de" w:eastAsia="de"/>
        </w:rPr>
        <w:t xml:space="preserve"> </w:t>
      </w:r>
    </w:p>
    <w:sectPr>
      <w:headerReference w:type="default" r:id="rId50"/>
      <w:footerReference w:type="default" r:id="rId51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11/23/2025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23.11.2025 06:29 - Quelle: beck-online DIE DATENBANK</w: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character" w:customStyle="1" w:styleId="hidden-print">
    <w:name w:val="hidden-print"/>
    <w:basedOn w:val="DefaultParagraphFont"/>
    <w:rPr>
      <w:vanish/>
    </w:rPr>
  </w:style>
  <w:style w:type="character" w:customStyle="1" w:styleId="visible-print">
    <w:name w:val="visible-print"/>
    <w:basedOn w:val="DefaultParagraphFont"/>
  </w:style>
  <w:style w:type="paragraph" w:customStyle="1" w:styleId="bocenterbomodulselectedh1modulTitle">
    <w:name w:val="bo_center_bo_modul_selected_h1_modulTitle"/>
    <w:basedOn w:val="Normal"/>
    <w:rPr>
      <w:color w:val="000000"/>
    </w:rPr>
  </w:style>
  <w:style w:type="paragraph" w:customStyle="1" w:styleId="hidden-printParagraph">
    <w:name w:val="hidden-print Paragraph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character" w:customStyle="1" w:styleId="divmodultd">
    <w:name w:val="div_modultd"/>
    <w:basedOn w:val="DefaultParagraphFont"/>
  </w:style>
  <w:style w:type="paragraph" w:customStyle="1" w:styleId="bocenterdivmodulcomparetrh1">
    <w:name w:val="bo_center_div_modulcomparetr_h1"/>
    <w:basedOn w:val="Normal"/>
    <w:rPr>
      <w:color w:val="000000"/>
      <w:sz w:val="24"/>
      <w:szCs w:val="24"/>
    </w:rPr>
  </w:style>
  <w:style w:type="character" w:customStyle="1" w:styleId="bocenterdivmodulnamecomparetd">
    <w:name w:val="bo_center_div_modulnamecomparetd"/>
    <w:basedOn w:val="DefaultParagraphFont"/>
  </w:style>
  <w:style w:type="paragraph" w:customStyle="1" w:styleId="bocenterdivmodulnamecomparetdspan">
    <w:name w:val="bo_center_div_modulnamecomparetd &gt; span"/>
    <w:basedOn w:val="Normal"/>
    <w:pPr>
      <w:pBdr>
        <w:top w:val="none" w:sz="0" w:space="3" w:color="auto"/>
        <w:left w:val="none" w:sz="0" w:space="3" w:color="auto"/>
        <w:bottom w:val="none" w:sz="0" w:space="3" w:color="auto"/>
        <w:right w:val="none" w:sz="0" w:space="3" w:color="auto"/>
      </w:pBdr>
    </w:pPr>
  </w:style>
  <w:style w:type="character" w:customStyle="1" w:styleId="bocenterdivmodulcomparetd">
    <w:name w:val="bo_center_div_modulcomparetd"/>
    <w:basedOn w:val="DefaultParagraphFont"/>
  </w:style>
  <w:style w:type="paragraph" w:customStyle="1" w:styleId="bocenterdivmodulcomparetdspan">
    <w:name w:val="bo_center_div_modulcomparetd &gt; span"/>
    <w:basedOn w:val="Normal"/>
    <w:pPr>
      <w:pBdr>
        <w:top w:val="none" w:sz="0" w:space="3" w:color="auto"/>
        <w:left w:val="none" w:sz="0" w:space="3" w:color="auto"/>
        <w:bottom w:val="none" w:sz="0" w:space="3" w:color="auto"/>
        <w:right w:val="none" w:sz="0" w:space="3" w:color="auto"/>
      </w:pBdr>
      <w:jc w:val="center"/>
    </w:pPr>
  </w:style>
  <w:style w:type="table" w:customStyle="1" w:styleId="bocentermodulcompareTable">
    <w:name w:val="bo_center_modulcompareTable"/>
    <w:basedOn w:val="TableNormal"/>
    <w:tblPr/>
  </w:style>
  <w:style w:type="paragraph" w:customStyle="1" w:styleId="bocentermodulcomparespace">
    <w:name w:val="bo_center_modulcompare_space"/>
    <w:basedOn w:val="Normal"/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?bcid=Y-400-W-BeckscherVOBKommAKO" TargetMode="External" /><Relationship Id="rId11" Type="http://schemas.openxmlformats.org/officeDocument/2006/relationships/hyperlink" Target="https://beck-online.beck.de/?bcid=Y-400-W-BeckscherVOBKommAKO-B-1-Name-Inhaltsverzeichnis" TargetMode="External" /><Relationship Id="rId12" Type="http://schemas.openxmlformats.org/officeDocument/2006/relationships/hyperlink" Target="https://beck-online.beck.de/?bcid=Y-400-W-BeckscherVOBKommAKO-B-2-Name-Inhaltsverzeichnis" TargetMode="External" /><Relationship Id="rId13" Type="http://schemas.openxmlformats.org/officeDocument/2006/relationships/hyperlink" Target="https://beck-online.beck.de/?bcid=Y-400-W-KoBoJuVOBB" TargetMode="External" /><Relationship Id="rId14" Type="http://schemas.openxmlformats.org/officeDocument/2006/relationships/hyperlink" Target="https://beck-online.beck.de/?bcid=Y-400-W-BurgiVergaberecht" TargetMode="External" /><Relationship Id="rId15" Type="http://schemas.openxmlformats.org/officeDocument/2006/relationships/hyperlink" Target="https://beck-online.beck.de/?bcid=Y-400-W-DiSchaWaKoVOLA" TargetMode="External" /><Relationship Id="rId16" Type="http://schemas.openxmlformats.org/officeDocument/2006/relationships/hyperlink" Target="https://beck-online.beck.de/?bcid=Y-400-W-EbPreiHdb" TargetMode="External" /><Relationship Id="rId17" Type="http://schemas.openxmlformats.org/officeDocument/2006/relationships/hyperlink" Target="https://beck-online.beck.de/?bcid=Y-400-W-EggerHbEUVergR" TargetMode="External" /><Relationship Id="rId18" Type="http://schemas.openxmlformats.org/officeDocument/2006/relationships/hyperlink" Target="https://beck-online.beck.de/?bcid=Y-400-W-EschOpKoSektVO" TargetMode="External" /><Relationship Id="rId19" Type="http://schemas.openxmlformats.org/officeDocument/2006/relationships/hyperlink" Target="https://beck-online.beck.de/?bcid=Y-400-W-GaKrNeHdbVergR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beck-online.beck.de/?bcid=Y-400-W-HePrAufverg" TargetMode="External" /><Relationship Id="rId21" Type="http://schemas.openxmlformats.org/officeDocument/2006/relationships/hyperlink" Target="https://beck-online.beck.de/?bcid=Y-400-W-KaMeKoVOB" TargetMode="External" /><Relationship Id="rId22" Type="http://schemas.openxmlformats.org/officeDocument/2006/relationships/hyperlink" Target="https://beck-online.beck.de/?bcid=Y-400-W-LauMueHdbNachhVerg" TargetMode="External" /><Relationship Id="rId23" Type="http://schemas.openxmlformats.org/officeDocument/2006/relationships/hyperlink" Target="https://beck-online.beck.de/?bcid=Y-400-W-LeiKiKoVSVgV" TargetMode="External" /><Relationship Id="rId24" Type="http://schemas.openxmlformats.org/officeDocument/2006/relationships/hyperlink" Target="https://beck-online.beck.de/?bcid=Y-400-W-LeiKiKoVgV" TargetMode="External" /><Relationship Id="rId25" Type="http://schemas.openxmlformats.org/officeDocument/2006/relationships/hyperlink" Target="https://beck-online.beck.de/?bcid=Y-400-W-KauLueKo" TargetMode="External" /><Relationship Id="rId26" Type="http://schemas.openxmlformats.org/officeDocument/2006/relationships/hyperlink" Target="https://beck-online.beck.de/?bcid=Y-400-W-MueKoKartellrecht-B-3-Name-Inhaltsverzeichnis" TargetMode="External" /><Relationship Id="rId27" Type="http://schemas.openxmlformats.org/officeDocument/2006/relationships/hyperlink" Target="https://beck-online.beck.de/?bcid=Y-400-W-MueKoKartellrecht-B-4-Name-Inhaltsverzeichnis" TargetMode="External" /><Relationship Id="rId28" Type="http://schemas.openxmlformats.org/officeDocument/2006/relationships/hyperlink" Target="https://beck-online.beck.de/?bcid=Y-400-W-OsseforthHdbITVergabe" TargetMode="External" /><Relationship Id="rId29" Type="http://schemas.openxmlformats.org/officeDocument/2006/relationships/hyperlink" Target="https://beck-online.beck.de/?bcid=Y-400-W-PuenScheKoVergabeR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beck-online.beck.de/?bcid=Y-400-W-SteVesKoEUProcL" TargetMode="External" /><Relationship Id="rId31" Type="http://schemas.openxmlformats.org/officeDocument/2006/relationships/hyperlink" Target="https://beck-online.beck.de/?bcid=Y-400-W-TBPTVgG" TargetMode="External" /><Relationship Id="rId32" Type="http://schemas.openxmlformats.org/officeDocument/2006/relationships/hyperlink" Target="https://beck-online.beck.de/?bcid=Y-400-W-VoOsBuKoVOF" TargetMode="External" /><Relationship Id="rId33" Type="http://schemas.openxmlformats.org/officeDocument/2006/relationships/hyperlink" Target="https://beck-online.beck.de/?bcid=Y-400-W-ZieVoeVgR" TargetMode="External" /><Relationship Id="rId34" Type="http://schemas.openxmlformats.org/officeDocument/2006/relationships/hyperlink" Target="https://beck-online.beck.de/ModId/612" TargetMode="External" /><Relationship Id="rId35" Type="http://schemas.openxmlformats.org/officeDocument/2006/relationships/hyperlink" Target="https://beck-online.beck.de/ModId/860" TargetMode="External" /><Relationship Id="rId36" Type="http://schemas.openxmlformats.org/officeDocument/2006/relationships/hyperlink" Target="https://beck-online.beck.de/Sammlungen/36961?cat=coll&amp;xml=gesetze%2Ffach&amp;coll=Normen%20zum%20Bau-%20und%20Vergaberecht" TargetMode="External" /><Relationship Id="rId37" Type="http://schemas.openxmlformats.org/officeDocument/2006/relationships/hyperlink" Target="https://beck-online.beck.de/Sammlungen/36961?cat=coll&amp;xml=gesetze%2Fbund&amp;coll=Wichtigste%20Normen%20%28rechtsgebiets%C3%BCbergreifend%29" TargetMode="External" /><Relationship Id="rId38" Type="http://schemas.openxmlformats.org/officeDocument/2006/relationships/hyperlink" Target="https://beck-online.beck.de/ModId/612" TargetMode="External" /><Relationship Id="rId39" Type="http://schemas.openxmlformats.org/officeDocument/2006/relationships/hyperlink" Target="https://beck-online.beck.de/ModId/860" TargetMode="External" /><Relationship Id="rId4" Type="http://schemas.openxmlformats.org/officeDocument/2006/relationships/image" Target="media/image1.png" /><Relationship Id="rId40" Type="http://schemas.openxmlformats.org/officeDocument/2006/relationships/hyperlink" Target="https://beck-online.beck.de/?bcid=Y-300-Z-RInPrax" TargetMode="External" /><Relationship Id="rId41" Type="http://schemas.openxmlformats.org/officeDocument/2006/relationships/hyperlink" Target="https://beck-online.beck.de/Dokument?vpath=%2Fbibdata%2Fzeits%2Fvpr%2Fbeitraege%2Fcont%2Fvpr.impressum.htm" TargetMode="External" /><Relationship Id="rId42" Type="http://schemas.openxmlformats.org/officeDocument/2006/relationships/hyperlink" Target="https://beck-online.beck.de/ModId/612" TargetMode="External" /><Relationship Id="rId43" Type="http://schemas.openxmlformats.org/officeDocument/2006/relationships/hyperlink" Target="https://beck-online.beck.de/ModId/860" TargetMode="External" /><Relationship Id="rId44" Type="http://schemas.openxmlformats.org/officeDocument/2006/relationships/hyperlink" Target="https://beck-online.beck.de/?bcid=Y-600-W-VergRfb" TargetMode="External" /><Relationship Id="rId45" Type="http://schemas.openxmlformats.org/officeDocument/2006/relationships/hyperlink" Target="https://beck-online.beck.de/Dokument?vpath=%2Fbibdata%2Fform%2FBeckOF-P%2Fcont%2FBeckOF-P.gl23.htm" TargetMode="External" /><Relationship Id="rId46" Type="http://schemas.openxmlformats.org/officeDocument/2006/relationships/hyperlink" Target="https://beck-online.beck.de/Dokument?vpath=%2Fbibdata%2Fform%2FBeckOF-V%2Fcont%2FBeckOF-V.gl4.htm" TargetMode="External" /><Relationship Id="rId47" Type="http://schemas.openxmlformats.org/officeDocument/2006/relationships/hyperlink" Target="https://beck-online.beck.de/ModId/612" TargetMode="External" /><Relationship Id="rId48" Type="http://schemas.openxmlformats.org/officeDocument/2006/relationships/hyperlink" Target="https://beck-online.beck.de/ModId/860" TargetMode="External" /><Relationship Id="rId49" Type="http://schemas.openxmlformats.org/officeDocument/2006/relationships/hyperlink" Target="https://beck-online.beck.de/?typ=searchlink&amp;hitlisthead=Fachnews%20aus%20dem%20Bereich%20Vergaberecht&amp;query=(srechtsgebiet1:%22PrBauR%22%20AND%20doktypesearch:%22zzreddok%22%20AND%20werk-id:becklink)&amp;rbSort=4" TargetMode="External" /><Relationship Id="rId5" Type="http://schemas.openxmlformats.org/officeDocument/2006/relationships/image" Target="media/image2.svg" /><Relationship Id="rId50" Type="http://schemas.openxmlformats.org/officeDocument/2006/relationships/header" Target="header1.xml" /><Relationship Id="rId51" Type="http://schemas.openxmlformats.org/officeDocument/2006/relationships/footer" Target="footer1.xml" /><Relationship Id="rId52" Type="http://schemas.openxmlformats.org/officeDocument/2006/relationships/theme" Target="theme/theme1.xml" /><Relationship Id="rId53" Type="http://schemas.openxmlformats.org/officeDocument/2006/relationships/styles" Target="styles.xml" /><Relationship Id="rId6" Type="http://schemas.openxmlformats.org/officeDocument/2006/relationships/hyperlink" Target="https://beck-online.beck.de/ModId/612" TargetMode="External" /><Relationship Id="rId7" Type="http://schemas.openxmlformats.org/officeDocument/2006/relationships/hyperlink" Target="https://beck-online.beck.de/ModId/860" TargetMode="External" /><Relationship Id="rId8" Type="http://schemas.openxmlformats.org/officeDocument/2006/relationships/hyperlink" Target="https://beck-online.beck.de/?bcid=Y-400-W-AlBaHdbNachtraege" TargetMode="External" /><Relationship Id="rId9" Type="http://schemas.openxmlformats.org/officeDocument/2006/relationships/hyperlink" Target="https://beck-online.beck.de/?bcid=Y-400-W-BeckOKVergabeR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Vergaberecht PLUS - beck-online</dc:title>
  <dc:creator>beck-online.beck.de</dc:creator>
  <cp:revision>0</cp:revision>
</cp:coreProperties>
</file>